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27CA942F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Système de protection solaire DucoSun Cubic Design 600</w:t>
      </w:r>
    </w:p>
    <w:p w14:paraId="52053502" w14:textId="77777777">
      <w:pPr>
        <w:pStyle w:val="Geenafstand"/>
        <w:jc w:val="center"/>
      </w:pPr>
    </w:p>
    <w:p w14:paraId="2CCF7521" w14:textId="63F7526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71F9C8A7" w14:textId="5C835162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Brise-soleil extérieur permanent, disponible avec lames fixes ou orientables électriquement. Les lames en aluminium à surface nervurée peuvent être fixées à un angle d'inclinaison fixe de 0° en haut et en bas, via les plaques latérales à l'extrémité, ou avec des supports muraux discrets à l'arrière.</w:t>
      </w:r>
    </w:p>
    <w:p w14:paraId="2DCD3FF1" w14:textId="45F5639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Pour créer une dynamique supplémentaire dans la façade, des bandes LED optionnelles peuvent être intégrées à l'avant des lames.</w:t>
      </w:r>
    </w:p>
    <w:p w14:paraId="3C9B3E22" w14:textId="77777777">
      <w:pPr>
        <w:pStyle w:val="Geenafstand"/>
      </w:pPr>
    </w:p>
    <w:p w14:paraId="2AAB78DE" w14:textId="77777777">
      <w:pPr>
        <w:pStyle w:val="Kop2"/>
      </w:pPr>
      <w:r>
        <w:t xml:space="preserve">Caractéristiques :</w:t>
      </w:r>
    </w:p>
    <w:p w14:paraId="0F48A050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Lames :</w:t>
      </w:r>
    </w:p>
    <w:p w14:paraId="703AD15C" w14:textId="2D7CDCB9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Type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Design 600</w:t>
      </w:r>
    </w:p>
    <w:p w14:paraId="1B7EAE62" w14:textId="55ADC1BD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Forme</w:t>
      </w:r>
      <w:r>
        <w:rPr>
          <w:rStyle w:val="Kop3Char"/>
          <w:rFonts w:ascii="Calibri" w:hAnsi="Calibri" w:cs="Times New Roman" w:eastAsia="Calibri"/>
          <w:color w:val="auto"/>
        </w:rPr>
        <w:t xml:space="preserve">: Forme rectangulaire avec surface nervurée</w:t>
      </w:r>
    </w:p>
    <w:p w14:paraId="65F4B818" w14:textId="15602B5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Matériau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EN AW-6063 T66</w:t>
      </w:r>
    </w:p>
    <w:p w14:paraId="78477065" w14:textId="629E3909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Largeur de la lame</w:t>
      </w:r>
      <w:r>
        <w:rPr>
          <w:rStyle w:val="Kop3Char"/>
          <w:rFonts w:ascii="Calibri" w:hAnsi="Calibri" w:cs="Times New Roman" w:eastAsia="Calibri"/>
          <w:color w:val="auto"/>
        </w:rPr>
        <w:t xml:space="preserve">: 600 mm</w:t>
      </w:r>
    </w:p>
    <w:p w14:paraId="67AFC04F" w14:textId="5B195601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Épaisseur de la lame</w:t>
      </w:r>
      <w:r>
        <w:rPr>
          <w:rStyle w:val="Kop3Char"/>
          <w:rFonts w:ascii="Calibri" w:hAnsi="Calibri" w:cs="Times New Roman" w:eastAsia="Calibri"/>
          <w:color w:val="auto"/>
        </w:rPr>
        <w:t xml:space="preserve">: 68 mm</w:t>
      </w:r>
    </w:p>
    <w:p w14:paraId="35F411DF" w14:textId="278CC450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Portée maximale</w:t>
      </w:r>
      <w:r>
        <w:rPr>
          <w:rStyle w:val="Kop3Char"/>
          <w:rFonts w:ascii="Calibri" w:hAnsi="Calibri" w:cs="Times New Roman" w:eastAsia="Calibri"/>
          <w:color w:val="auto"/>
        </w:rPr>
        <w:t xml:space="preserve">: 6000 mm (à 1250 N/m²)</w:t>
      </w:r>
    </w:p>
    <w:p w14:paraId="55B3160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0DCAD800" w14:textId="089B0BC9">
      <w:pPr>
        <w:pStyle w:val="Kop2"/>
      </w:pPr>
      <w:r>
        <w:t xml:space="preserve">Traitement de surface :</w:t>
      </w:r>
    </w:p>
    <w:p w14:paraId="10E123C9" w14:textId="56573B46">
      <w:pPr>
        <w:pStyle w:val="Geenafstand"/>
        <w:numPr>
          <w:ilvl w:val="0"/>
          <w:numId w:val="16"/>
        </w:numPr>
      </w:pPr>
      <w:r>
        <w:t xml:space="preserve">Revêtement en poudre : selon Qualicoat Seaside type A, revêtement en poudre de polyester émaillé, épaisseur moyenne minimale de la couche 60 µm, max. 80</w:t>
      </w:r>
      <w:r>
        <w:rPr>
          <w:rStyle w:val="Kop3Char"/>
          <w:rFonts w:ascii="Calibri" w:hAnsi="Calibri" w:eastAsia="Calibri"/>
          <w:color w:val="auto"/>
        </w:rPr>
        <w:t xml:space="preserve"> µm</w:t>
      </w:r>
      <w:r>
        <w:t xml:space="preserve">, couleurs standard RAL 70% brillant ou DUCO Anodic RAL</w:t>
      </w:r>
    </w:p>
    <w:p w14:paraId="282697BC" w14:textId="47E9D3E5">
      <w:pPr>
        <w:pStyle w:val="Geenafstand"/>
        <w:ind w:left="360" w:right="-1"/>
      </w:pPr>
      <w:r>
        <w:t xml:space="preserve">Sur demande : autres épaisseurs de couche de finition et degrés de brillance, peintures texturées et références spécifiques de poudre de peinture.</w:t>
      </w:r>
    </w:p>
    <w:p w14:paraId="6B97C63C" w14:textId="77777777">
      <w:pPr>
        <w:pStyle w:val="Geenafstand"/>
        <w:ind w:right="-1"/>
      </w:pPr>
    </w:p>
    <w:p w14:paraId="389CDBD1" w14:textId="77777777">
      <w:pPr>
        <w:pStyle w:val="Geenafstand"/>
        <w:rPr>
          <w:rStyle w:val="Kop2Char"/>
        </w:rPr>
      </w:pPr>
      <w:r>
        <w:rPr>
          <w:rStyle w:val="Kop2Char"/>
        </w:rPr>
        <w:t>Finition</w:t>
      </w:r>
    </w:p>
    <w:p w14:paraId="74A9A9AE" w14:textId="77777777">
      <w:pPr>
        <w:pStyle w:val="Geenafstand"/>
        <w:rPr>
          <w:rStyle w:val="Kop2Char"/>
        </w:rPr>
      </w:pPr>
    </w:p>
    <w:p w14:paraId="2BDF605D" w14:textId="2A932414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Angle d'inclinaison fixe de 0°.</w:t>
      </w:r>
    </w:p>
    <w:p w14:paraId="343B20F5" w14:textId="4A20D1AB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Également disponible avec des lames à réglage électrique.</w:t>
      </w:r>
    </w:p>
    <w:p w14:paraId="670152F0" w14:textId="77777777">
      <w:pPr>
        <w:pStyle w:val="Geenafstand"/>
      </w:pPr>
    </w:p>
    <w:p w14:paraId="38D7A85D" w14:textId="77777777">
      <w:pPr>
        <w:pStyle w:val="Kop2"/>
      </w:pPr>
      <w:r>
        <w:t xml:space="preserve">Finition :</w:t>
      </w:r>
    </w:p>
    <w:p w14:paraId="4462D632" w14:textId="77777777">
      <w:pPr>
        <w:pStyle w:val="Kop3"/>
        <w:numPr>
          <w:ilvl w:val="0"/>
          <w:numId w:val="17"/>
        </w:numPr>
      </w:pPr>
      <w:r>
        <w:t xml:space="preserve">Plaques latérales :</w:t>
      </w:r>
    </w:p>
    <w:p w14:paraId="1EC010E9" w14:textId="633F234A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Plaques latérales par défaut avec "oreilles", épaisseur 8 mm.</w:t>
      </w:r>
    </w:p>
    <w:p w14:paraId="49557ED4" w14:textId="0A8438BB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Ou des supports muraux à l'arrière de la lame.</w:t>
      </w:r>
    </w:p>
    <w:p w14:paraId="1D4BCDEF" w14:textId="77777777">
      <w:pPr>
        <w:ind w:left="708"/>
        <w:rPr>
          <w:rFonts w:ascii="Calibri" w:hAnsi="Calibri" w:cs="Tahoma" w:eastAsia="Calibri"/>
          <w:sz w:val="22"/>
        </w:rPr>
      </w:pPr>
    </w:p>
    <w:p w14:paraId="0058F7C7" w14:textId="78106158">
      <w:pPr>
        <w:pStyle w:val="Kop3"/>
        <w:numPr>
          <w:ilvl w:val="0"/>
          <w:numId w:val="17"/>
        </w:numPr>
      </w:pPr>
      <w:r>
        <w:t xml:space="preserve">Bandes LED en option :</w:t>
      </w:r>
    </w:p>
    <w:p w14:paraId="70263DC5" w14:textId="5A002672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Blanc, couleur (RGB) ou blanc + couleur (RGB).</w:t>
      </w:r>
    </w:p>
    <w:p w14:paraId="769981E5" w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Blanc : 11,52 W/m</w:t>
      </w:r>
    </w:p>
    <w:p w14:paraId="061C9C6B" w14:textId="2DE45518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RGB : 12,8 W/m (2 par lame)</w:t>
      </w:r>
    </w:p>
    <w:p w14:paraId="5FE360FE" w14:textId="5EA6F610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AC23D5" w14:textId="563C3C55">
      <w:pPr>
        <w:pStyle w:val="Kop2"/>
      </w:pPr>
      <w:r>
        <w:t xml:space="preserve">Conforme ou testé selon les normes :</w:t>
      </w:r>
    </w:p>
    <w:p w14:paraId="19E7776D" w14:textId="1619FE73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</w:t>
      </w:r>
    </w:p>
    <w:p w14:paraId="4777F3D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5FD25BB7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p w14:paraId="5FE6881E" w14:textId="24504E46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13501-1 : 2018 : réaction au feu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3759" w14:textId="77777777">
      <w:r>
        <w:separator/>
      </w:r>
    </w:p>
  </w:endnote>
  <w:endnote w:type="continuationSeparator" w:id="0">
    <w:p w14:paraId="3ED885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C74" w14:textId="77777777">
      <w:r>
        <w:separator/>
      </w:r>
    </w:p>
  </w:footnote>
  <w:footnote w:type="continuationSeparator" w:id="0">
    <w:p w14:paraId="38F6B1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>
    <w:pPr>
      <w:pStyle w:val="Koptekst"/>
    </w:pPr>
    <w: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>
    <w:pPr>
      <w:pStyle w:val="Koptekst"/>
    </w:pPr>
    <w: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>
    <w:pPr>
      <w:pStyle w:val="Koptekst"/>
    </w:pPr>
    <w: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24533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93524"/>
    <w:rsid w:val="003B0777"/>
    <w:rsid w:val="003D1968"/>
    <w:rsid w:val="003E502D"/>
    <w:rsid w:val="003F2011"/>
    <w:rsid w:val="00404BAD"/>
    <w:rsid w:val="004229F9"/>
    <w:rsid w:val="00466C4B"/>
    <w:rsid w:val="0047004A"/>
    <w:rsid w:val="004772FD"/>
    <w:rsid w:val="00480B15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470D4"/>
    <w:rsid w:val="00584936"/>
    <w:rsid w:val="005A1F6F"/>
    <w:rsid w:val="005C52B6"/>
    <w:rsid w:val="005C7E25"/>
    <w:rsid w:val="005D6582"/>
    <w:rsid w:val="005F05CA"/>
    <w:rsid w:val="0061302D"/>
    <w:rsid w:val="00613C5C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E1E3A"/>
    <w:rsid w:val="006E4577"/>
    <w:rsid w:val="006F3CC4"/>
    <w:rsid w:val="007244D2"/>
    <w:rsid w:val="00735912"/>
    <w:rsid w:val="00737673"/>
    <w:rsid w:val="00754396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02854"/>
    <w:rsid w:val="008109AE"/>
    <w:rsid w:val="00816D7F"/>
    <w:rsid w:val="0082380F"/>
    <w:rsid w:val="008828CE"/>
    <w:rsid w:val="008B36CF"/>
    <w:rsid w:val="008D1CFA"/>
    <w:rsid w:val="008E3C3F"/>
    <w:rsid w:val="008F5F87"/>
    <w:rsid w:val="0091495A"/>
    <w:rsid w:val="0092495C"/>
    <w:rsid w:val="00936621"/>
    <w:rsid w:val="00936E63"/>
    <w:rsid w:val="00942BB2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  <w:rsid w:val="1BEBB0E7"/>
    <w:rsid w:val="3A5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B9882-C699-446B-89FA-D652B488F9C5}"/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10</cp:revision>
  <cp:lastPrinted>2016-03-07T09:51:00Z</cp:lastPrinted>
  <dcterms:created xsi:type="dcterms:W3CDTF">2022-10-26T12:58:00Z</dcterms:created>
  <dcterms:modified xsi:type="dcterms:W3CDTF">2022-11-21T14:01:00Z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