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D16" w14:textId="0E27C9D2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00.00.00</w:t>
        <w:tab/>
        <w:t xml:space="preserve">Selbstregulierender schallabsorbierender und feuerbeständiger Fensterlüfter</w:t>
      </w:r>
      <w:r>
        <w:rPr>
          <w:rStyle w:val="MeetChar"/>
        </w:rPr>
        <w:t xml:space="preserve">  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 xml:space="preserve">DUCO Ventilation &amp; Sun Control – FireMax EI 30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6BDFF7" w14:textId="77777777">
      <w:pPr>
        <w:pStyle w:val="Kop5"/>
      </w:pPr>
      <w:r>
        <w:t>Beschreibung:</w:t>
      </w:r>
    </w:p>
    <w:p w14:paraId="59FECE42" w14:textId="2D51FF57">
      <w:r>
        <w:rPr>
          <w:rStyle w:val="MerkChar"/>
        </w:rPr>
        <w:t xml:space="preserve">FireMax EI 30 ZR</w:t>
      </w:r>
      <w:r>
        <w:t xml:space="preserve">, wärmeisolierter, feuerbeständiger und schalldämmender Fensterlüfter aus Aluminium.</w:t>
      </w:r>
    </w:p>
    <w:p w14:paraId="1F3B8ECC" w14:textId="77777777"/>
    <w:p w14:paraId="4AE1F343" w14:textId="77777777">
      <w:r>
        <w:t xml:space="preserve">Für Montage auf Glas geeignet.</w:t>
      </w:r>
    </w:p>
    <w:p w14:paraId="593E324C" w14:textId="77777777">
      <w:r>
        <w:t xml:space="preserve">Innenhaube: abnehmbar, waschbar und gestanzt.</w:t>
      </w:r>
    </w:p>
    <w:p w14:paraId="50DDE7DD" w14:textId="77777777">
      <w:r>
        <w:t xml:space="preserve">Erreichte brandschutztechnische Werte:</w:t>
      </w:r>
    </w:p>
    <w:p w14:paraId="3A9775EA" w14:textId="180C7FBD">
      <w:pPr>
        <w:pStyle w:val="Lijstalinea"/>
        <w:numPr>
          <w:ilvl w:val="0"/>
          <w:numId w:val="5"/>
        </w:numPr>
      </w:pPr>
      <w:r>
        <w:t xml:space="preserve">Wärmedämmung: EI 1 30</w:t>
      </w:r>
    </w:p>
    <w:p w14:paraId="1C33888F" w14:textId="778EC42B">
      <w:pPr>
        <w:pStyle w:val="Lijstalinea"/>
        <w:numPr>
          <w:ilvl w:val="0"/>
          <w:numId w:val="5"/>
        </w:numPr>
      </w:pPr>
      <w:r>
        <w:t xml:space="preserve">Flammdichtigkeit: E30</w:t>
      </w:r>
    </w:p>
    <w:p w14:paraId="539AFABF" w14:textId="5AE32195">
      <w:pPr>
        <w:pStyle w:val="Lijstalinea"/>
        <w:numPr>
          <w:ilvl w:val="0"/>
          <w:numId w:val="5"/>
        </w:numPr>
      </w:pPr>
      <w:r>
        <w:t xml:space="preserve">Wärmestrahlung: EW30</w:t>
      </w:r>
    </w:p>
    <w:p w14:paraId="56F8B59A" w14:textId="77777777">
      <w:r>
        <w:t xml:space="preserve">Die selbstregulierende Klappe sorgt für Energieeinsparungen und eine konstante Durchflussmenge.</w:t>
      </w:r>
    </w:p>
    <w:p w14:paraId="1E5BC6C4" w14:textId="77777777">
      <w:r>
        <w:t xml:space="preserve">Bedienung: ist stufenlos einstellbar.</w:t>
      </w:r>
    </w:p>
    <w:p w14:paraId="41E4FD4F" w14:textId="77777777">
      <w:r>
        <w:t xml:space="preserve">Die geöffnete/geschlossene Position ist durch eine grün/rote Anzeige sichtbar.</w:t>
      </w:r>
    </w:p>
    <w:p w14:paraId="08D68AB5" w14:textId="77777777">
      <w:r>
        <w:t xml:space="preserve">Dämpfungsmaterial: für Situationen mit leichter Lärmbelästigung.</w:t>
      </w:r>
    </w:p>
    <w:p w14:paraId="2993EE6A" w14:textId="77777777"/>
    <w:p w14:paraId="2B2E15E0" w14:textId="77777777">
      <w:pPr>
        <w:pStyle w:val="Kop5"/>
      </w:pPr>
      <w:r>
        <w:t>Material:</w:t>
      </w:r>
    </w:p>
    <w:p w14:paraId="220A0326" w14:textId="6948485C">
      <w:r>
        <w:t xml:space="preserve">Aluminium: EN AW – 6063 T66, Edelstahl 304</w:t>
      </w:r>
    </w:p>
    <w:p w14:paraId="702D8823" w14:textId="582EC902">
      <w:r>
        <w:t xml:space="preserve">Kunststoffteile: ABS und PVC (schlagfest, farbecht und wetterfest).</w:t>
      </w:r>
    </w:p>
    <w:p w14:paraId="58CB2160" w14:textId="3AA3A954">
      <w:r>
        <w:t xml:space="preserve">Feuerfester Streifen</w:t>
      </w:r>
    </w:p>
    <w:p w14:paraId="1DCC9CF4" w14:textId="77777777"/>
    <w:p w14:paraId="68D8AE75" w14:textId="776E03CB">
      <w:pPr>
        <w:pStyle w:val="Kop5"/>
      </w:pPr>
      <w:r>
        <w:t>Oberflächenbehandlung:</w:t>
      </w:r>
    </w:p>
    <w:p w14:paraId="5BA9A202" w14:textId="3EEC68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</w:rPr>
      </w:pPr>
      <w:r>
        <w:rPr>
          <w:rStyle w:val="normaltextrun"/>
          <w:rFonts w:ascii="Calibri" w:hAnsi="Calibri" w:cs="Calibri"/>
          <w:sz w:val="20"/>
        </w:rPr>
        <w:t xml:space="preserve">Pulverbeschichtung (Emaillierter Polyester-Pulverlack): gemäß Qualicoat Seaside Typ A, Schichtdicke 60-80 um</w:t>
      </w:r>
    </w:p>
    <w:p w14:paraId="1914FB15" w14:textId="77777777"/>
    <w:p w14:paraId="478DAC2E" w14:textId="057F3EE3">
      <w:pPr>
        <w:pStyle w:val="Kop5"/>
      </w:pPr>
      <w:r>
        <w:t xml:space="preserve">Verfügbare Farben:</w:t>
      </w:r>
    </w:p>
    <w:p w14:paraId="211332E9" w14:textId="0E71E65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 xml:space="preserve">Standard RAL-Farben 70% Glanz (außer RAL 9010: 90% Glanz); matt 30% Glanz; Feinstruktur</w:t>
      </w:r>
    </w:p>
    <w:p w14:paraId="7894D215" w14:textId="429D359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DAR</w:t>
      </w:r>
    </w:p>
    <w:p w14:paraId="004C6DBD" w14:textId="241EF532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>Zweifarbig</w:t>
      </w:r>
    </w:p>
    <w:p w14:paraId="09A2E70D" w14:textId="775FFC2A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</w:rPr>
      </w:pPr>
      <w:r>
        <w:rPr>
          <w:rStyle w:val="normaltextrun"/>
          <w:rFonts w:ascii="Calibri" w:hAnsi="Calibri" w:cs="Calibri"/>
          <w:sz w:val="20"/>
        </w:rPr>
        <w:t xml:space="preserve">Mögliche Farben der Endkappen: Weiß/Schwarz</w:t>
      </w:r>
    </w:p>
    <w:p w14:paraId="3AB9F011" w14:textId="77777777"/>
    <w:p w14:paraId="7D0BCDA8" w14:textId="77777777">
      <w:pPr>
        <w:pStyle w:val="P68B1DB1-Kop51"/>
        <w:rPr>
          <w:rFonts w:asciiTheme="minorHAnsi" w:hAnsiTheme="minorHAnsi"/>
        </w:rPr>
      </w:pPr>
      <w:r>
        <w:t xml:space="preserve">Technische Daten</w:t>
      </w:r>
    </w:p>
    <w:p w14:paraId="48DDAE40" w14:textId="0167D591">
      <w:pPr>
        <w:rPr>
          <w:rStyle w:val="MerkChar"/>
        </w:rPr>
      </w:pPr>
      <w:r>
        <w:t xml:space="preserve">Lüftungswerte </w:t>
      </w:r>
      <w:r>
        <w:rPr>
          <w:rStyle w:val="MerkChar"/>
        </w:rPr>
        <w:t xml:space="preserve">FireMax EI 30 ZR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1408"/>
        <w:gridCol w:w="1277"/>
        <w:gridCol w:w="1273"/>
        <w:gridCol w:w="1389"/>
        <w:gridCol w:w="1938"/>
        <w:gridCol w:w="1279"/>
      </w:tblGrid>
      <w:tr w14:paraId="272296AB" w14:textId="77777777">
        <w:trPr>
          <w:trHeight w:val="455"/>
          <w:jc w:val="center"/>
        </w:trPr>
        <w:tc>
          <w:tcPr>
            <w:tcW w:w="621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4C3E6186" w14:textId="77777777">
            <w:pPr>
              <w:pStyle w:val="P68B1DB1-Standaard2"/>
              <w:jc w:val="center"/>
            </w:pPr>
            <w:r>
              <w:t>Luftspalt</w:t>
            </w:r>
          </w:p>
        </w:tc>
        <w:tc>
          <w:tcPr>
            <w:tcW w:w="1373" w:type="pct"/>
            <w:gridSpan w:val="2"/>
            <w:shd w:val="clear" w:color="auto" w:fill="D6E3BC" w:themeFill="accent3" w:themeFillTint="66"/>
            <w:noWrap/>
            <w:vAlign w:val="center"/>
            <w:hideMark/>
          </w:tcPr>
          <w:p w14:paraId="10302920" w14:textId="77777777">
            <w:pPr>
              <w:pStyle w:val="P68B1DB1-Standaard2"/>
              <w:jc w:val="center"/>
            </w:pPr>
            <w:r>
              <w:t xml:space="preserve">Lüftungsleistung (Q) in l/s/m bei...</w:t>
            </w:r>
          </w:p>
        </w:tc>
        <w:tc>
          <w:tcPr>
            <w:tcW w:w="1361" w:type="pct"/>
            <w:gridSpan w:val="2"/>
            <w:shd w:val="clear" w:color="auto" w:fill="D6E3BC" w:themeFill="accent3" w:themeFillTint="66"/>
            <w:vAlign w:val="center"/>
            <w:hideMark/>
          </w:tcPr>
          <w:p w14:paraId="22A66321" w14:textId="77777777">
            <w:pPr>
              <w:pStyle w:val="P68B1DB1-Standaard2"/>
              <w:jc w:val="center"/>
            </w:pPr>
            <w:r>
              <w:t xml:space="preserve">Lüftungsleistung (Q) in m3/h/m bei...</w:t>
            </w:r>
          </w:p>
        </w:tc>
        <w:tc>
          <w:tcPr>
            <w:tcW w:w="991" w:type="pct"/>
            <w:vMerge w:val="restart"/>
            <w:shd w:val="clear" w:color="auto" w:fill="D6E3BC" w:themeFill="accent3" w:themeFillTint="66"/>
            <w:noWrap/>
            <w:vAlign w:val="center"/>
          </w:tcPr>
          <w:p w14:paraId="6435ACCC" w14:textId="77777777">
            <w:pPr>
              <w:pStyle w:val="P68B1DB1-Standaard2"/>
              <w:jc w:val="center"/>
            </w:pPr>
            <w:r>
              <w:t xml:space="preserve">Äquivalenter Raum</w:t>
            </w:r>
          </w:p>
          <w:p w14:paraId="7A32F6B5" w14:textId="77777777">
            <w:pPr>
              <w:pStyle w:val="P68B1DB1-Standaard2"/>
              <w:jc w:val="center"/>
            </w:pPr>
            <w:r>
              <w:t xml:space="preserve">bei 1 Pa</w:t>
            </w:r>
          </w:p>
          <w:p w14:paraId="102F6D7A" w14:textId="77777777">
            <w:pPr>
              <w:pStyle w:val="P68B1DB1-P68B1DB1-Standaard22"/>
              <w:jc w:val="center"/>
              <w:rPr>
                <w:vertAlign w:val="subscript"/>
              </w:rPr>
            </w:pPr>
            <w:r>
              <w:t xml:space="preserve">in mm²/m</w:t>
            </w:r>
          </w:p>
        </w:tc>
        <w:tc>
          <w:tcPr>
            <w:tcW w:w="654" w:type="pct"/>
            <w:vMerge w:val="restart"/>
            <w:shd w:val="clear" w:color="auto" w:fill="D6E3BC" w:themeFill="accent3" w:themeFillTint="66"/>
            <w:vAlign w:val="center"/>
          </w:tcPr>
          <w:p w14:paraId="06878E35" w14:textId="77777777">
            <w:pPr>
              <w:pStyle w:val="P68B1DB1-Standaard2"/>
              <w:jc w:val="center"/>
            </w:pPr>
            <w:r>
              <w:t xml:space="preserve">Geometrischer Freiraum</w:t>
            </w:r>
          </w:p>
          <w:p w14:paraId="1967332A" w14:textId="77777777">
            <w:pPr>
              <w:pStyle w:val="P68B1DB1-P68B1DB1-Standaard22"/>
              <w:jc w:val="center"/>
              <w:rPr>
                <w:vertAlign w:val="subscript"/>
              </w:rPr>
            </w:pPr>
            <w:r>
              <w:t xml:space="preserve">in mm²/m</w:t>
            </w:r>
          </w:p>
        </w:tc>
      </w:tr>
      <w:tr w14:paraId="385CA0E0" w14:textId="77777777">
        <w:trPr>
          <w:trHeight w:val="926"/>
          <w:jc w:val="center"/>
        </w:trPr>
        <w:tc>
          <w:tcPr>
            <w:tcW w:w="621" w:type="pct"/>
            <w:vMerge/>
            <w:vAlign w:val="center"/>
            <w:hideMark/>
          </w:tcPr>
          <w:p w14:paraId="74FAF1BD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20" w:type="pct"/>
            <w:shd w:val="clear" w:color="auto" w:fill="D6E3BC" w:themeFill="accent3" w:themeFillTint="66"/>
            <w:vAlign w:val="center"/>
            <w:hideMark/>
          </w:tcPr>
          <w:p w14:paraId="5A18D4C6" w14:textId="77777777">
            <w:pPr>
              <w:jc w:val="center"/>
              <w:rPr>
                <w:rFonts w:cs="Arial"/>
                <w:color w:val="000000"/>
              </w:rPr>
              <w:pStyle w:val="P68B1DB1-Standaard2"/>
            </w:pPr>
            <w:r>
              <w:t xml:space="preserve">2 Pa</w:t>
            </w:r>
          </w:p>
        </w:tc>
        <w:tc>
          <w:tcPr>
            <w:tcW w:w="653" w:type="pct"/>
            <w:shd w:val="clear" w:color="auto" w:fill="D6E3BC" w:themeFill="accent3" w:themeFillTint="66"/>
            <w:vAlign w:val="center"/>
          </w:tcPr>
          <w:p w14:paraId="05A7862D" w14:textId="77777777">
            <w:pPr>
              <w:jc w:val="center"/>
              <w:rPr>
                <w:rFonts w:cs="Arial"/>
                <w:color w:val="000000"/>
              </w:rPr>
              <w:pStyle w:val="P68B1DB1-Standaard2"/>
            </w:pPr>
            <w:r>
              <w:t xml:space="preserve">10 Pa</w:t>
            </w:r>
          </w:p>
        </w:tc>
        <w:tc>
          <w:tcPr>
            <w:tcW w:w="651" w:type="pct"/>
            <w:shd w:val="clear" w:color="auto" w:fill="D6E3BC" w:themeFill="accent3" w:themeFillTint="66"/>
            <w:vAlign w:val="center"/>
          </w:tcPr>
          <w:p w14:paraId="06D32273" w14:textId="77777777">
            <w:pPr>
              <w:pStyle w:val="P68B1DB1-Standaard2"/>
              <w:jc w:val="center"/>
            </w:pPr>
            <w:r>
              <w:t xml:space="preserve">2 Pa</w:t>
            </w:r>
          </w:p>
        </w:tc>
        <w:tc>
          <w:tcPr>
            <w:tcW w:w="710" w:type="pct"/>
            <w:shd w:val="clear" w:color="auto" w:fill="D6E3BC" w:themeFill="accent3" w:themeFillTint="66"/>
            <w:vAlign w:val="center"/>
          </w:tcPr>
          <w:p w14:paraId="6CDD4ECC" w14:textId="77777777">
            <w:pPr>
              <w:pStyle w:val="P68B1DB1-Standaard2"/>
              <w:jc w:val="center"/>
            </w:pPr>
            <w:r>
              <w:t xml:space="preserve">10 Pa</w:t>
            </w:r>
          </w:p>
        </w:tc>
        <w:tc>
          <w:tcPr>
            <w:tcW w:w="991" w:type="pct"/>
            <w:vMerge/>
            <w:noWrap/>
            <w:vAlign w:val="center"/>
            <w:hideMark/>
          </w:tcPr>
          <w:p w14:paraId="0124CAB8" w14:textId="77777777">
            <w:pPr>
              <w:pStyle w:val="P68B1DB1-Standaard2"/>
              <w:jc w:val="center"/>
            </w:pPr>
          </w:p>
        </w:tc>
        <w:tc>
          <w:tcPr>
            <w:tcW w:w="654" w:type="pct"/>
            <w:vMerge/>
          </w:tcPr>
          <w:p w14:paraId="7B81A9D1" w14:textId="77777777">
            <w:pPr>
              <w:pStyle w:val="P68B1DB1-Standaard2"/>
              <w:jc w:val="center"/>
            </w:pPr>
          </w:p>
        </w:tc>
      </w:tr>
      <w:tr w14:paraId="0A815974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AB92F3D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15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6D56192A" w14:textId="119282B0">
            <w:pPr>
              <w:pStyle w:val="P68B1DB1-Standaard2"/>
              <w:jc w:val="center"/>
            </w:pPr>
            <w:r>
              <w:t>18,2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B105094" w14:textId="2C326E03">
            <w:pPr>
              <w:pStyle w:val="P68B1DB1-Standaard2"/>
              <w:jc w:val="center"/>
            </w:pPr>
            <w:r>
              <w:t>16,8</w:t>
            </w:r>
          </w:p>
        </w:tc>
        <w:tc>
          <w:tcPr>
            <w:tcW w:w="651" w:type="pct"/>
            <w:shd w:val="clear" w:color="auto" w:fill="auto"/>
            <w:noWrap/>
          </w:tcPr>
          <w:p w14:paraId="5BEFFC08" w14:textId="3BF07E08">
            <w:pPr>
              <w:pStyle w:val="P68B1DB1-Standaard2"/>
              <w:jc w:val="center"/>
            </w:pPr>
            <w:r>
              <w:t>65,6</w:t>
            </w:r>
          </w:p>
        </w:tc>
        <w:tc>
          <w:tcPr>
            <w:tcW w:w="710" w:type="pct"/>
            <w:shd w:val="clear" w:color="auto" w:fill="auto"/>
          </w:tcPr>
          <w:p w14:paraId="20A49693" w14:textId="76F7A90B">
            <w:pPr>
              <w:pStyle w:val="P68B1DB1-Standaard2"/>
              <w:jc w:val="center"/>
            </w:pPr>
            <w:r>
              <w:t>60,3</w:t>
            </w:r>
          </w:p>
        </w:tc>
        <w:tc>
          <w:tcPr>
            <w:tcW w:w="991" w:type="pct"/>
            <w:shd w:val="clear" w:color="auto" w:fill="auto"/>
            <w:noWrap/>
          </w:tcPr>
          <w:p w14:paraId="65314CCF" w14:textId="748EDD9C">
            <w:pPr>
              <w:pStyle w:val="P68B1DB1-Standaard2"/>
              <w:jc w:val="center"/>
            </w:pPr>
            <w:r>
              <w:t>20232,8</w:t>
            </w:r>
          </w:p>
        </w:tc>
        <w:tc>
          <w:tcPr>
            <w:tcW w:w="654" w:type="pct"/>
          </w:tcPr>
          <w:p w14:paraId="2F5C7F03" w14:textId="77777777">
            <w:pPr>
              <w:pStyle w:val="P68B1DB1-Standaard2"/>
              <w:jc w:val="center"/>
            </w:pPr>
            <w:r>
              <w:t>15000</w:t>
            </w:r>
          </w:p>
        </w:tc>
      </w:tr>
      <w:tr w14:paraId="6EC3ADC1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1F5175EF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20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13260D8C" w14:textId="07165D96">
            <w:pPr>
              <w:pStyle w:val="P68B1DB1-Standaard2"/>
              <w:jc w:val="center"/>
            </w:pPr>
            <w:r>
              <w:t>24,6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5E25E6B" w14:textId="347AD42E">
            <w:pPr>
              <w:pStyle w:val="P68B1DB1-Standaard2"/>
              <w:jc w:val="center"/>
            </w:pPr>
            <w:r>
              <w:t>20,7</w:t>
            </w:r>
          </w:p>
        </w:tc>
        <w:tc>
          <w:tcPr>
            <w:tcW w:w="651" w:type="pct"/>
            <w:shd w:val="clear" w:color="auto" w:fill="auto"/>
            <w:noWrap/>
          </w:tcPr>
          <w:p w14:paraId="484D0F4E" w14:textId="2F78131F">
            <w:pPr>
              <w:pStyle w:val="P68B1DB1-Standaard2"/>
              <w:jc w:val="center"/>
            </w:pPr>
            <w:r>
              <w:t>88,4</w:t>
            </w:r>
          </w:p>
        </w:tc>
        <w:tc>
          <w:tcPr>
            <w:tcW w:w="710" w:type="pct"/>
            <w:shd w:val="clear" w:color="auto" w:fill="auto"/>
          </w:tcPr>
          <w:p w14:paraId="4F50F468" w14:textId="350D6E88">
            <w:pPr>
              <w:pStyle w:val="P68B1DB1-Standaard2"/>
              <w:jc w:val="center"/>
            </w:pPr>
            <w:r>
              <w:t>74,6</w:t>
            </w:r>
          </w:p>
        </w:tc>
        <w:tc>
          <w:tcPr>
            <w:tcW w:w="991" w:type="pct"/>
            <w:shd w:val="clear" w:color="auto" w:fill="auto"/>
            <w:noWrap/>
          </w:tcPr>
          <w:p w14:paraId="6FBD2826" w14:textId="371601A4">
            <w:pPr>
              <w:pStyle w:val="P68B1DB1-Standaard2"/>
              <w:jc w:val="center"/>
            </w:pPr>
            <w:r>
              <w:t>26849,8</w:t>
            </w:r>
          </w:p>
        </w:tc>
        <w:tc>
          <w:tcPr>
            <w:tcW w:w="654" w:type="pct"/>
          </w:tcPr>
          <w:p w14:paraId="46BA2900" w14:textId="77777777">
            <w:pPr>
              <w:pStyle w:val="P68B1DB1-Standaard2"/>
              <w:jc w:val="center"/>
            </w:pPr>
            <w:r>
              <w:t>20000</w:t>
            </w:r>
          </w:p>
        </w:tc>
      </w:tr>
      <w:tr w14:paraId="65571395" w14:textId="77777777">
        <w:trPr>
          <w:trHeight w:val="258"/>
          <w:jc w:val="center"/>
        </w:trPr>
        <w:tc>
          <w:tcPr>
            <w:tcW w:w="621" w:type="pct"/>
            <w:shd w:val="clear" w:color="auto" w:fill="auto"/>
            <w:noWrap/>
            <w:vAlign w:val="center"/>
          </w:tcPr>
          <w:p w14:paraId="63EDAD43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25 mm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301CCFC3" w14:textId="6D6F9E83">
            <w:pPr>
              <w:pStyle w:val="P68B1DB1-Standaard2"/>
              <w:jc w:val="center"/>
            </w:pPr>
            <w:r>
              <w:t>30,4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5B3F4F" w14:textId="3476E0FC">
            <w:pPr>
              <w:pStyle w:val="P68B1DB1-Standaard2"/>
              <w:jc w:val="center"/>
            </w:pPr>
            <w:r>
              <w:t>27,6</w:t>
            </w:r>
          </w:p>
        </w:tc>
        <w:tc>
          <w:tcPr>
            <w:tcW w:w="651" w:type="pct"/>
            <w:shd w:val="clear" w:color="auto" w:fill="auto"/>
            <w:noWrap/>
          </w:tcPr>
          <w:p w14:paraId="3398A0E0" w14:textId="10A927A9">
            <w:pPr>
              <w:pStyle w:val="P68B1DB1-Standaard2"/>
              <w:jc w:val="center"/>
            </w:pPr>
            <w:r>
              <w:t>109,3</w:t>
            </w:r>
          </w:p>
        </w:tc>
        <w:tc>
          <w:tcPr>
            <w:tcW w:w="710" w:type="pct"/>
            <w:shd w:val="clear" w:color="auto" w:fill="auto"/>
          </w:tcPr>
          <w:p w14:paraId="01608FCA" w14:textId="132D32AE">
            <w:pPr>
              <w:pStyle w:val="P68B1DB1-Standaard2"/>
              <w:jc w:val="center"/>
            </w:pPr>
            <w:r>
              <w:t>99,3</w:t>
            </w:r>
          </w:p>
        </w:tc>
        <w:tc>
          <w:tcPr>
            <w:tcW w:w="991" w:type="pct"/>
            <w:shd w:val="clear" w:color="auto" w:fill="auto"/>
            <w:noWrap/>
          </w:tcPr>
          <w:p w14:paraId="7078E6C3" w14:textId="4446AFDF">
            <w:pPr>
              <w:pStyle w:val="P68B1DB1-Standaard2"/>
              <w:jc w:val="center"/>
            </w:pPr>
            <w:r>
              <w:t>30667,3</w:t>
            </w:r>
          </w:p>
        </w:tc>
        <w:tc>
          <w:tcPr>
            <w:tcW w:w="654" w:type="pct"/>
          </w:tcPr>
          <w:p w14:paraId="6939B163" w14:textId="77777777">
            <w:pPr>
              <w:pStyle w:val="P68B1DB1-Standaard2"/>
              <w:jc w:val="center"/>
            </w:pPr>
            <w:r>
              <w:t>25000</w:t>
            </w:r>
          </w:p>
        </w:tc>
      </w:tr>
    </w:tbl>
    <w:p w14:paraId="58971531" w14:textId="77777777">
      <w:pPr>
        <w:jc w:val="left"/>
      </w:pPr>
    </w:p>
    <w:p w14:paraId="64E675B3" w14:textId="12C37CE7">
      <w:r>
        <w:t>Geräuschdämmung</w:t>
      </w:r>
      <w:r>
        <w:rPr>
          <w:rStyle w:val="CarMarque"/>
        </w:rPr>
        <w:t xml:space="preserve"> FireMax EI 30 ZR</w:t>
      </w:r>
      <w:r>
        <w:t>:</w:t>
      </w:r>
    </w:p>
    <w:tbl>
      <w:tblPr>
        <w:tblW w:w="24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615"/>
        <w:gridCol w:w="1701"/>
      </w:tblGrid>
      <w:tr w14:paraId="71537697" w14:textId="77777777">
        <w:trPr>
          <w:trHeight w:val="455"/>
        </w:trPr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  <w:hideMark/>
          </w:tcPr>
          <w:p w14:paraId="399C3525" w14:textId="77777777">
            <w:pPr>
              <w:pStyle w:val="P68B1DB1-Standaard2"/>
              <w:jc w:val="center"/>
            </w:pPr>
            <w:r>
              <w:t>Modell</w:t>
            </w:r>
          </w:p>
        </w:tc>
        <w:tc>
          <w:tcPr>
            <w:tcW w:w="3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  <w:hideMark/>
          </w:tcPr>
          <w:p w14:paraId="38AFA994" w14:textId="77777777">
            <w:pPr>
              <w:pStyle w:val="P68B1DB1-Standaard2"/>
              <w:jc w:val="center"/>
            </w:pPr>
            <w:r>
              <w:t>Schalldämpfung</w:t>
            </w:r>
          </w:p>
          <w:p w14:paraId="46096423" w14:textId="77777777">
            <w:pPr>
              <w:pStyle w:val="P68B1DB1-Standaard2"/>
              <w:jc w:val="center"/>
            </w:pPr>
            <w:r>
              <w:t>D</w:t>
            </w:r>
            <w:r>
              <w:rPr>
                <w:vertAlign w:val="subscript"/>
              </w:rPr>
              <w:t>ne,</w:t>
            </w:r>
            <w:r>
              <w:t xml:space="preserve">W (C;C</w:t>
            </w:r>
            <w:r>
              <w:rPr>
                <w:vertAlign w:val="subscript"/>
              </w:rPr>
              <w:t>tr</w:t>
            </w:r>
            <w:r>
              <w:t xml:space="preserve">), </w:t>
            </w:r>
            <w:r>
              <w:rPr>
                <w:vertAlign w:val="subscript"/>
              </w:rPr>
              <w:t xml:space="preserve">in dB</w:t>
            </w:r>
          </w:p>
        </w:tc>
      </w:tr>
      <w:tr w14:paraId="570DCC12" w14:textId="77777777">
        <w:trPr>
          <w:trHeight w:val="465"/>
        </w:trPr>
        <w:tc>
          <w:tcPr>
            <w:tcW w:w="1509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  <w:hideMark/>
          </w:tcPr>
          <w:p w14:paraId="29F983EE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  <w:hideMark/>
          </w:tcPr>
          <w:p w14:paraId="64470BB7" w14:textId="77777777">
            <w:pPr>
              <w:pStyle w:val="P68B1DB1-Standaard2"/>
              <w:jc w:val="center"/>
            </w:pPr>
            <w:r>
              <w:t xml:space="preserve">Position OFFEN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1499458C" w14:textId="77777777">
            <w:pPr>
              <w:pStyle w:val="P68B1DB1-Standaard2"/>
              <w:jc w:val="center"/>
            </w:pPr>
            <w:r>
              <w:t xml:space="preserve">Position GESCHLOSSEN</w:t>
            </w:r>
          </w:p>
        </w:tc>
      </w:tr>
      <w:tr w14:paraId="471822CA" w14:textId="77777777">
        <w:trPr>
          <w:trHeight w:val="465"/>
        </w:trPr>
        <w:tc>
          <w:tcPr>
            <w:tcW w:w="150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475AC1EE" w14:textId="7777777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7FCE96CE" w14:textId="77777777">
            <w:pPr>
              <w:pStyle w:val="P68B1DB1-Standaard2"/>
              <w:jc w:val="center"/>
            </w:pP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337C6AC0" w14:textId="77777777">
            <w:pPr>
              <w:pStyle w:val="P68B1DB1-Standaard2"/>
              <w:jc w:val="center"/>
            </w:pPr>
          </w:p>
        </w:tc>
      </w:tr>
      <w:tr w14:paraId="59697CEF" w14:textId="77777777">
        <w:trPr>
          <w:trHeight w:val="258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14:paraId="1964204E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15 mm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38029D" w14:textId="1F048D32">
            <w:pPr>
              <w:pStyle w:val="P68B1DB1-Standaard2"/>
              <w:jc w:val="center"/>
            </w:pPr>
            <w:r>
              <w:t xml:space="preserve">35 (-1;-2)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C9164E" w14:textId="01EFE8E9">
            <w:pPr>
              <w:pStyle w:val="P68B1DB1-Standaard2"/>
              <w:jc w:val="center"/>
            </w:pPr>
            <w:r>
              <w:t xml:space="preserve">51 (-1;-4)</w:t>
            </w:r>
          </w:p>
        </w:tc>
      </w:tr>
      <w:tr w14:paraId="07286517" w14:textId="77777777">
        <w:trPr>
          <w:trHeight w:val="258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ACB6B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20 mm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8AA59B" w14:textId="7A3CF1B6">
            <w:pPr>
              <w:pStyle w:val="P68B1DB1-Standaard2"/>
              <w:jc w:val="center"/>
            </w:pPr>
            <w:r>
              <w:t xml:space="preserve">34 (0;-2)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000E10" w14:textId="494515D9">
            <w:pPr>
              <w:pStyle w:val="P68B1DB1-Standaard2"/>
              <w:jc w:val="center"/>
            </w:pPr>
            <w:r>
              <w:t xml:space="preserve">49 (0;-3)</w:t>
            </w:r>
          </w:p>
        </w:tc>
      </w:tr>
      <w:tr w14:paraId="3BD20B41" w14:textId="77777777">
        <w:trPr>
          <w:trHeight w:val="258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DEC6" w14:textId="77777777">
            <w:pPr>
              <w:jc w:val="center"/>
              <w:rPr>
                <w:rStyle w:val="CarMarque"/>
                <w:color w:val="auto"/>
              </w:rPr>
            </w:pPr>
            <w:r>
              <w:t xml:space="preserve">25 mm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012D58" w14:textId="7B3D4B20">
            <w:pPr>
              <w:pStyle w:val="P68B1DB1-Standaard2"/>
              <w:jc w:val="center"/>
            </w:pPr>
            <w:r>
              <w:t xml:space="preserve">27 (0;-1)</w:t>
            </w:r>
          </w:p>
        </w:tc>
        <w:tc>
          <w:tcPr>
            <w:tcW w:w="1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55385" w14:textId="40858E0A">
            <w:pPr>
              <w:pStyle w:val="P68B1DB1-Standaard2"/>
              <w:jc w:val="center"/>
            </w:pPr>
            <w:r>
              <w:t xml:space="preserve">42 (0;-1)</w:t>
            </w:r>
          </w:p>
        </w:tc>
      </w:tr>
    </w:tbl>
    <w:p w14:paraId="587F1583" w14:textId="75C5C34A">
      <w:pPr>
        <w:jc w:val="left"/>
      </w:pPr>
      <w:r>
        <w:br w:type="page"/>
      </w:r>
    </w:p>
    <w:p w14:paraId="776A9623" w14:textId="20BF1B23">
      <w:pPr>
        <w:tabs>
          <w:tab w:val="left" w:pos="3686"/>
        </w:tabs>
      </w:pPr>
      <w:r>
        <w:t xml:space="preserve">Wasserabweisung (in geschlossenem Zustand):</w:t>
        <w:tab/>
        <w:t xml:space="preserve">1050 Pa</w:t>
      </w:r>
    </w:p>
    <w:p w14:paraId="7C0CFA19" w14:textId="77777777">
      <w:pPr>
        <w:tabs>
          <w:tab w:val="left" w:pos="3686"/>
        </w:tabs>
      </w:pPr>
    </w:p>
    <w:p w14:paraId="4F0EB75F" w14:textId="18E3903D">
      <w:pPr>
        <w:tabs>
          <w:tab w:val="left" w:pos="3686"/>
        </w:tabs>
      </w:pPr>
      <w:r>
        <w:t xml:space="preserve">Windwiderstand (in geschlossener Position):</w:t>
        <w:tab/>
        <w:t xml:space="preserve">600 Pa</w:t>
      </w:r>
    </w:p>
    <w:p w14:paraId="029D9EB1" w14:textId="77777777">
      <w:pPr>
        <w:tabs>
          <w:tab w:val="left" w:pos="3686"/>
        </w:tabs>
        <w:rPr>
          <w:highlight w:val="yellow"/>
        </w:rPr>
      </w:pPr>
    </w:p>
    <w:p w14:paraId="73DDA458" w14:textId="33497C6A">
      <w:pPr>
        <w:tabs>
          <w:tab w:val="left" w:pos="3686"/>
        </w:tabs>
      </w:pPr>
      <w:r>
        <w:t>Glasabzug:</w:t>
        <w:tab/>
        <w:t xml:space="preserve">92 mm</w:t>
      </w:r>
    </w:p>
    <w:p w14:paraId="18F6BF15" w14:textId="77777777">
      <w:pPr>
        <w:tabs>
          <w:tab w:val="left" w:pos="3686"/>
        </w:tabs>
      </w:pPr>
    </w:p>
    <w:p w14:paraId="4D0D3D74" w14:textId="6422E94B">
      <w:pPr>
        <w:tabs>
          <w:tab w:val="left" w:pos="3686"/>
        </w:tabs>
      </w:pPr>
      <w:r>
        <w:t>Glasfalz:</w:t>
        <w:tab/>
        <w:t xml:space="preserve">42 mm</w:t>
      </w:r>
    </w:p>
    <w:p w14:paraId="0FFB6728" w14:textId="77777777">
      <w:pPr>
        <w:tabs>
          <w:tab w:val="left" w:pos="3686"/>
        </w:tabs>
      </w:pPr>
    </w:p>
    <w:p w14:paraId="3AB11F1B" w14:textId="78DE7CD1">
      <w:pPr>
        <w:tabs>
          <w:tab w:val="left" w:pos="3686"/>
        </w:tabs>
      </w:pPr>
      <w:r>
        <w:t>Falz:</w:t>
        <w:tab/>
        <w:t xml:space="preserve">27 mm</w:t>
      </w:r>
    </w:p>
    <w:p w14:paraId="380323C7" w14:textId="77777777">
      <w:pPr>
        <w:tabs>
          <w:tab w:val="left" w:pos="3686"/>
        </w:tabs>
      </w:pPr>
    </w:p>
    <w:p w14:paraId="6B806261" w14:textId="3DA8DE6F">
      <w:pPr>
        <w:tabs>
          <w:tab w:val="left" w:pos="3686"/>
        </w:tabs>
      </w:pPr>
      <w:r>
        <w:t>Gitterhöhe:</w:t>
        <w:tab/>
        <w:t xml:space="preserve">107 mm</w:t>
      </w:r>
    </w:p>
    <w:p w14:paraId="3868FAEE" w14:textId="77777777">
      <w:pPr>
        <w:tabs>
          <w:tab w:val="left" w:pos="3686"/>
        </w:tabs>
      </w:pPr>
    </w:p>
    <w:p w14:paraId="587059A9" w14:textId="564DAD84">
      <w:pPr>
        <w:tabs>
          <w:tab w:val="left" w:pos="3686"/>
        </w:tabs>
      </w:pPr>
      <w:r>
        <w:t xml:space="preserve">Bedienung: </w:t>
        <w:tab/>
        <w:t>…</w:t>
      </w:r>
    </w:p>
    <w:p w14:paraId="692C993C" w14:textId="21411966">
      <w:pPr>
        <w:pStyle w:val="OFWEL"/>
        <w:tabs>
          <w:tab w:val="left" w:pos="3686"/>
        </w:tabs>
        <w:ind w:left="2880" w:firstLine="806"/>
      </w:pPr>
      <w:r>
        <w:t xml:space="preserve">Stufenlos, mit Hebel 15 mm</w:t>
      </w:r>
    </w:p>
    <w:p w14:paraId="6EFF81C3" w14:textId="43E27D21">
      <w:pPr>
        <w:tabs>
          <w:tab w:val="left" w:pos="3686"/>
        </w:tabs>
        <w:rPr>
          <w:color w:val="008080"/>
        </w:rPr>
        <w:pStyle w:val="P68B1DB1-Standaard3"/>
      </w:pPr>
      <w:r>
        <w:tab/>
        <w:t xml:space="preserve">Stufenlos, mit Kordel</w:t>
      </w:r>
    </w:p>
    <w:p w14:paraId="5B22166A" w14:textId="2C596AA1">
      <w:pPr>
        <w:pStyle w:val="OFWEL"/>
        <w:tabs>
          <w:tab w:val="left" w:pos="3686"/>
        </w:tabs>
        <w:ind w:left="2880" w:firstLine="806"/>
      </w:pPr>
      <w:r>
        <w:t xml:space="preserve">Stufenlos, mit Stange</w:t>
      </w:r>
    </w:p>
    <w:p w14:paraId="45C2D505" w14:textId="77777777">
      <w:pPr>
        <w:tabs>
          <w:tab w:val="left" w:pos="3686"/>
        </w:tabs>
      </w:pPr>
    </w:p>
    <w:p w14:paraId="5E730BF6" w14:textId="7E6E6D2C">
      <w:pPr>
        <w:tabs>
          <w:tab w:val="left" w:pos="3686"/>
        </w:tabs>
      </w:pPr>
      <w:r>
        <w:t>Fensterlüfterlänge:</w:t>
        <w:tab/>
        <w:t xml:space="preserve">… mm</w:t>
      </w:r>
    </w:p>
    <w:p w14:paraId="7E9ED2D3" w14:textId="67A26618">
      <w:pPr>
        <w:pStyle w:val="Nota"/>
        <w:tabs>
          <w:tab w:val="left" w:pos="3686"/>
        </w:tabs>
        <w:ind w:left="2880" w:firstLine="806"/>
      </w:pPr>
      <w:r>
        <w:t xml:space="preserve">Maximal 1114 mm im Rahmen der Garantie (im Rahmen des Feuerwiderstandszertifikats):</w:t>
      </w:r>
    </w:p>
    <w:p w14:paraId="1857C214" w14:textId="77777777">
      <w:pPr>
        <w:pStyle w:val="Nota"/>
        <w:tabs>
          <w:tab w:val="left" w:pos="3686"/>
        </w:tabs>
        <w:ind w:left="2880" w:firstLine="806"/>
      </w:pPr>
    </w:p>
    <w:p w14:paraId="79BD2612" w14:textId="546E52DE">
      <w:pPr>
        <w:tabs>
          <w:tab w:val="left" w:pos="3686"/>
        </w:tabs>
      </w:pPr>
      <w:r>
        <w:t>Montage/Platzierung:</w:t>
        <w:tab/>
        <w:t xml:space="preserve">Gemäß Einbauanleitung des Herstellers</w:t>
      </w:r>
    </w:p>
    <w:p w14:paraId="24A20461" w14:textId="3A8326A5">
      <w:pPr>
        <w:tabs>
          <w:tab w:val="left" w:pos="3686"/>
        </w:tabs>
      </w:pPr>
      <w:r>
        <w:tab/>
        <w:t xml:space="preserve">Abdichtung mit Firestop 700</w:t>
      </w:r>
    </w:p>
    <w:p w14:paraId="422BAAAA" w14:textId="1D39EDB2">
      <w:pPr>
        <w:tabs>
          <w:tab w:val="left" w:pos="3686"/>
        </w:tabs>
      </w:pPr>
      <w:r>
        <w:tab/>
        <w:t xml:space="preserve">Feuerbeständige Rückenpolsterung Nullifire FJ203</w:t>
      </w:r>
    </w:p>
    <w:p w14:paraId="72F3DC45" w14:textId="14C5FCA0">
      <w:pPr>
        <w:pStyle w:val="Nota"/>
        <w:tabs>
          <w:tab w:val="left" w:pos="3686"/>
        </w:tabs>
        <w:ind w:left="2880" w:firstLine="806"/>
        <w:rPr>
          <w:rStyle w:val="MerkChar"/>
          <w:i w:val="0"/>
          <w:color w:val="auto"/>
        </w:rPr>
      </w:pPr>
      <w:r>
        <w:rPr>
          <w:color w:val="auto"/>
        </w:rPr>
        <w:t xml:space="preserve">In Kombination mit </w:t>
      </w:r>
      <w:r>
        <w:rPr>
          <w:rStyle w:val="MerkChar"/>
          <w:i w:val="0"/>
          <w:color w:val="auto"/>
        </w:rPr>
        <w:t xml:space="preserve">VetroTech Contraflam IDU</w:t>
      </w:r>
    </w:p>
    <w:p w14:paraId="68433DEE" w14:textId="3A28C371">
      <w:pPr>
        <w:pStyle w:val="Nota"/>
        <w:tabs>
          <w:tab w:val="left" w:pos="3686"/>
        </w:tabs>
        <w:ind w:left="2880" w:firstLine="806"/>
        <w:rPr>
          <w:color w:val="auto"/>
        </w:rPr>
      </w:pPr>
      <w:r>
        <w:rPr>
          <w:color w:val="auto"/>
        </w:rPr>
        <w:t xml:space="preserve">In Kombination mit </w:t>
      </w:r>
      <w:r>
        <w:rPr>
          <w:rStyle w:val="MerkChar"/>
          <w:i w:val="0"/>
          <w:color w:val="auto"/>
        </w:rPr>
        <w:t xml:space="preserve">Reynaers Masterline</w:t>
      </w:r>
    </w:p>
    <w:p w14:paraId="686A7234" w14:textId="77777777">
      <w:pPr>
        <w:tabs>
          <w:tab w:val="left" w:pos="3686"/>
        </w:tabs>
      </w:pPr>
    </w:p>
    <w:p w14:paraId="56AC23DC" w14:textId="77777777">
      <w:pPr>
        <w:pStyle w:val="Kop5"/>
      </w:pPr>
      <w:r>
        <w:t>Anwendung:</w:t>
      </w:r>
    </w:p>
    <w:p w14:paraId="24E88923" w14:textId="48DE9506">
      <w:pPr>
        <w:pStyle w:val="P68B1DB1-OFWEL4"/>
        <w:rPr>
          <w:color w:val="auto"/>
        </w:rPr>
      </w:pPr>
      <w:r>
        <w:t xml:space="preserve">Für die Montage auf Glas in Kombination mit dem oben genannten Glastyp und einem Fenster oder einer Tür aus Aluminium entwickelt.</w:t>
      </w:r>
      <w:r>
        <w:br/>
        <w:t xml:space="preserve">Die folgenden Türen und Fenster wurden für das Feuerwiderstandszertifikat getestet: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843"/>
      </w:tblGrid>
      <w:tr w14:paraId="69B734F0" w14:textId="77777777">
        <w:tc>
          <w:tcPr>
            <w:tcW w:w="1526" w:type="dxa"/>
            <w:shd w:val="clear" w:color="auto" w:fill="A6A6A6" w:themeFill="background1" w:themeFillShade="A6"/>
          </w:tcPr>
          <w:p w14:paraId="5968678D" w14:textId="77777777"/>
        </w:tc>
        <w:tc>
          <w:tcPr>
            <w:tcW w:w="1984" w:type="dxa"/>
            <w:shd w:val="clear" w:color="auto" w:fill="A6A6A6" w:themeFill="background1" w:themeFillShade="A6"/>
          </w:tcPr>
          <w:p w14:paraId="15596D42" w14:textId="6A10BEEE">
            <w:r>
              <w:t xml:space="preserve">Max. Glasbreite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22C13912" w14:textId="5EB258F6">
            <w:r>
              <w:t xml:space="preserve">Max. Höhe des Glases</w:t>
            </w:r>
          </w:p>
        </w:tc>
      </w:tr>
      <w:tr w14:paraId="52930EA3" w14:textId="77777777">
        <w:tc>
          <w:tcPr>
            <w:tcW w:w="1526" w:type="dxa"/>
          </w:tcPr>
          <w:p w14:paraId="3476CD61" w14:textId="2E90D662">
            <w:r>
              <w:t>Tür</w:t>
            </w:r>
          </w:p>
        </w:tc>
        <w:tc>
          <w:tcPr>
            <w:tcW w:w="1984" w:type="dxa"/>
          </w:tcPr>
          <w:p w14:paraId="4CB1D52F" w14:textId="29EDE547">
            <w:pPr>
              <w:tabs>
                <w:tab w:val="decimal" w:pos="889"/>
              </w:tabs>
            </w:pPr>
            <w:r>
              <w:t xml:space="preserve">885,5 mm</w:t>
            </w:r>
          </w:p>
        </w:tc>
        <w:tc>
          <w:tcPr>
            <w:tcW w:w="1843" w:type="dxa"/>
          </w:tcPr>
          <w:p w14:paraId="5D4C48D5" w14:textId="64AC4DAE">
            <w:pPr>
              <w:tabs>
                <w:tab w:val="decimal" w:pos="852"/>
              </w:tabs>
            </w:pPr>
            <w:r>
              <w:t xml:space="preserve">2.137,5 mm</w:t>
            </w:r>
          </w:p>
        </w:tc>
      </w:tr>
      <w:tr w14:paraId="36F397DC" w14:textId="77777777">
        <w:tc>
          <w:tcPr>
            <w:tcW w:w="1526" w:type="dxa"/>
          </w:tcPr>
          <w:p w14:paraId="6EA55555" w14:textId="6C4E1515">
            <w:r>
              <w:t xml:space="preserve">Fenster 1</w:t>
            </w:r>
          </w:p>
        </w:tc>
        <w:tc>
          <w:tcPr>
            <w:tcW w:w="1984" w:type="dxa"/>
          </w:tcPr>
          <w:p w14:paraId="57C7A114" w14:textId="11BE1233">
            <w:pPr>
              <w:tabs>
                <w:tab w:val="decimal" w:pos="889"/>
              </w:tabs>
            </w:pPr>
            <w:r>
              <w:t xml:space="preserve">1.114,5 mm</w:t>
            </w:r>
          </w:p>
        </w:tc>
        <w:tc>
          <w:tcPr>
            <w:tcW w:w="1843" w:type="dxa"/>
          </w:tcPr>
          <w:p w14:paraId="207B5834" w14:textId="5F170C9D">
            <w:pPr>
              <w:tabs>
                <w:tab w:val="decimal" w:pos="852"/>
              </w:tabs>
            </w:pPr>
            <w:r>
              <w:t xml:space="preserve">2.292 mm</w:t>
            </w:r>
          </w:p>
        </w:tc>
      </w:tr>
      <w:tr w14:paraId="4F4FD175" w14:textId="77777777">
        <w:tc>
          <w:tcPr>
            <w:tcW w:w="1526" w:type="dxa"/>
          </w:tcPr>
          <w:p w14:paraId="3A15AC03" w14:textId="234B6937">
            <w:r>
              <w:t xml:space="preserve">Fenster 2</w:t>
            </w:r>
          </w:p>
        </w:tc>
        <w:tc>
          <w:tcPr>
            <w:tcW w:w="1984" w:type="dxa"/>
          </w:tcPr>
          <w:p w14:paraId="6C74C7CD" w14:textId="4AB22DE7">
            <w:pPr>
              <w:tabs>
                <w:tab w:val="decimal" w:pos="889"/>
              </w:tabs>
            </w:pPr>
            <w:r>
              <w:t xml:space="preserve">737 mm</w:t>
            </w:r>
          </w:p>
        </w:tc>
        <w:tc>
          <w:tcPr>
            <w:tcW w:w="1843" w:type="dxa"/>
          </w:tcPr>
          <w:p w14:paraId="57220612" w14:textId="60224E54">
            <w:pPr>
              <w:tabs>
                <w:tab w:val="decimal" w:pos="852"/>
              </w:tabs>
            </w:pPr>
            <w:r>
              <w:t xml:space="preserve">2.266 mm</w:t>
            </w:r>
          </w:p>
        </w:tc>
      </w:tr>
      <w:tr w14:paraId="028B9C8B" w14:textId="77777777">
        <w:tc>
          <w:tcPr>
            <w:tcW w:w="1526" w:type="dxa"/>
          </w:tcPr>
          <w:p w14:paraId="44234514" w14:textId="0BA35D95">
            <w:r>
              <w:t xml:space="preserve">Fenster 3</w:t>
            </w:r>
          </w:p>
        </w:tc>
        <w:tc>
          <w:tcPr>
            <w:tcW w:w="1984" w:type="dxa"/>
          </w:tcPr>
          <w:p w14:paraId="181DE65C" w14:textId="2CFA65CA">
            <w:pPr>
              <w:tabs>
                <w:tab w:val="decimal" w:pos="889"/>
              </w:tabs>
            </w:pPr>
            <w:r>
              <w:t xml:space="preserve">866,5 mm</w:t>
            </w:r>
          </w:p>
        </w:tc>
        <w:tc>
          <w:tcPr>
            <w:tcW w:w="1843" w:type="dxa"/>
          </w:tcPr>
          <w:p w14:paraId="4E1B25F2" w14:textId="24EF4D6C">
            <w:pPr>
              <w:tabs>
                <w:tab w:val="decimal" w:pos="852"/>
              </w:tabs>
            </w:pPr>
            <w:r>
              <w:t xml:space="preserve">1.149,5 mm</w:t>
            </w:r>
          </w:p>
        </w:tc>
      </w:tr>
    </w:tbl>
    <w:p w14:paraId="4DD6E29F" w14:textId="77777777"/>
    <w:p w14:paraId="34369FD1" w14:textId="77777777">
      <w:pPr>
        <w:pStyle w:val="Kop5"/>
      </w:pPr>
      <w:r>
        <w:t xml:space="preserve">Art der Vereinbarung:</w:t>
      </w:r>
    </w:p>
    <w:p w14:paraId="2E9DF3F0" w14:textId="6B3CBE69">
      <w:r>
        <w:t xml:space="preserve">Voraussichtliche Menge (VH)</w:t>
      </w:r>
    </w:p>
    <w:p w14:paraId="7CA3FDF3" w14:textId="77777777">
      <w:pPr>
        <w:pStyle w:val="Kop5"/>
      </w:pPr>
      <w:r>
        <w:t>Messverfahren:</w:t>
      </w:r>
    </w:p>
    <w:p w14:paraId="3A524339" w14:textId="77777777">
      <w:pPr>
        <w:pStyle w:val="Meting"/>
      </w:pPr>
      <w:r>
        <w:t>Maßeinheit:</w:t>
        <w:tab/>
        <w:t xml:space="preserve">  mm.</w:t>
      </w:r>
    </w:p>
    <w:p w14:paraId="00E9A393" w14:textId="77777777">
      <w:pPr>
        <w:pStyle w:val="Meting"/>
      </w:pPr>
      <w:r>
        <w:t xml:space="preserve">Code der Messung:</w:t>
        <w:tab/>
      </w:r>
    </w:p>
    <w:sectPr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569D" w14:textId="77777777">
      <w:r>
        <w:separator/>
      </w:r>
    </w:p>
  </w:endnote>
  <w:endnote w:type="continuationSeparator" w:id="0">
    <w:p w14:paraId="7E68D278" w14:textId="77777777">
      <w:r>
        <w:continuationSeparator/>
      </w:r>
    </w:p>
  </w:endnote>
  <w:endnote w:type="continuationNotice" w:id="1">
    <w:p w14:paraId="5E0B8B9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E8DF" w14:textId="77777777">
    <w:pPr>
      <w:pStyle w:val="Voettekst"/>
    </w:pPr>
    <w:r>
      <w:object w:dxaOrig="1440" w:dyaOrig="1440" w14:anchorId="25AAB49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 type="#_x0000_t75">
          <v:imagedata o:title="" r:id="rId1"/>
          <w10:wrap type="tight"/>
        </v:shape>
        <o:OLEObject Type="Embed" ProgID="MSPhotoEd.3" ShapeID="_x0000_s1025" DrawAspect="Content" ObjectID="_176863834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4603" w14:textId="77777777">
      <w:r>
        <w:separator/>
      </w:r>
    </w:p>
  </w:footnote>
  <w:footnote w:type="continuationSeparator" w:id="0">
    <w:p w14:paraId="4DECFC8B" w14:textId="77777777">
      <w:r>
        <w:continuationSeparator/>
      </w:r>
    </w:p>
  </w:footnote>
  <w:footnote w:type="continuationNotice" w:id="1">
    <w:p w14:paraId="21756DD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7F4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 xml:space="preserve">Datei .......... vom ... ........</w:t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C422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 xml:space="preserve">Datei .......... vom ... ........</w:t>
      <w:tab/>
    </w:r>
    <w:r>
      <w:fldChar w:fldCharType="begin"/>
    </w:r>
    <w:r>
      <w:instrText>PAGE</w:instrText>
    </w:r>
    <w:r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D077C29"/>
    <w:multiLevelType w:val="hybridMultilevel"/>
    <w:tmpl w:val="0C92B75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D7B3CDB"/>
    <w:multiLevelType w:val="hybridMultilevel"/>
    <w:tmpl w:val="D3366D7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6351681">
    <w:abstractNumId w:val="0"/>
  </w:num>
  <w:num w:numId="2" w16cid:durableId="1360623220">
    <w:abstractNumId w:val="1"/>
  </w:num>
  <w:num w:numId="3" w16cid:durableId="1966738316">
    <w:abstractNumId w:val="3"/>
  </w:num>
  <w:num w:numId="4" w16cid:durableId="2043508135">
    <w:abstractNumId w:val="4"/>
  </w:num>
  <w:num w:numId="5" w16cid:durableId="197829895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0D30"/>
    <w:rsid w:val="000034D1"/>
    <w:rsid w:val="00006E2C"/>
    <w:rsid w:val="00011B1B"/>
    <w:rsid w:val="00013E09"/>
    <w:rsid w:val="000142BC"/>
    <w:rsid w:val="00017BF1"/>
    <w:rsid w:val="0002147E"/>
    <w:rsid w:val="000225BB"/>
    <w:rsid w:val="00023AEC"/>
    <w:rsid w:val="00032AD4"/>
    <w:rsid w:val="000400D3"/>
    <w:rsid w:val="00043D78"/>
    <w:rsid w:val="0004754E"/>
    <w:rsid w:val="00053C13"/>
    <w:rsid w:val="00062EB6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0E26"/>
    <w:rsid w:val="001132CD"/>
    <w:rsid w:val="0011726D"/>
    <w:rsid w:val="00117554"/>
    <w:rsid w:val="00125D74"/>
    <w:rsid w:val="00126101"/>
    <w:rsid w:val="00130D42"/>
    <w:rsid w:val="00130F6B"/>
    <w:rsid w:val="00131313"/>
    <w:rsid w:val="00140F97"/>
    <w:rsid w:val="00147FB2"/>
    <w:rsid w:val="0015158B"/>
    <w:rsid w:val="00165C47"/>
    <w:rsid w:val="001707C2"/>
    <w:rsid w:val="00171A14"/>
    <w:rsid w:val="001722FA"/>
    <w:rsid w:val="001732E3"/>
    <w:rsid w:val="00180E4E"/>
    <w:rsid w:val="00183DF2"/>
    <w:rsid w:val="00184CB3"/>
    <w:rsid w:val="00194556"/>
    <w:rsid w:val="0019696F"/>
    <w:rsid w:val="001A161B"/>
    <w:rsid w:val="001A4492"/>
    <w:rsid w:val="001A58D2"/>
    <w:rsid w:val="001B262B"/>
    <w:rsid w:val="001C489C"/>
    <w:rsid w:val="001C5E46"/>
    <w:rsid w:val="001C6CD5"/>
    <w:rsid w:val="001C7CE2"/>
    <w:rsid w:val="001D20C5"/>
    <w:rsid w:val="001D2A39"/>
    <w:rsid w:val="001D4AE9"/>
    <w:rsid w:val="001E4035"/>
    <w:rsid w:val="001E51BD"/>
    <w:rsid w:val="0020404B"/>
    <w:rsid w:val="00224915"/>
    <w:rsid w:val="002317A6"/>
    <w:rsid w:val="00231E0D"/>
    <w:rsid w:val="002561FE"/>
    <w:rsid w:val="0025674D"/>
    <w:rsid w:val="00262B41"/>
    <w:rsid w:val="0026458D"/>
    <w:rsid w:val="002667C5"/>
    <w:rsid w:val="00272FD9"/>
    <w:rsid w:val="00275014"/>
    <w:rsid w:val="00275820"/>
    <w:rsid w:val="002778EE"/>
    <w:rsid w:val="00284BF3"/>
    <w:rsid w:val="00297077"/>
    <w:rsid w:val="002A488C"/>
    <w:rsid w:val="002B03A9"/>
    <w:rsid w:val="002B4BAC"/>
    <w:rsid w:val="002B4CF0"/>
    <w:rsid w:val="002C421C"/>
    <w:rsid w:val="002D088D"/>
    <w:rsid w:val="002D10E3"/>
    <w:rsid w:val="002D1E41"/>
    <w:rsid w:val="002D44B3"/>
    <w:rsid w:val="002D6F45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2FE8"/>
    <w:rsid w:val="00303CA5"/>
    <w:rsid w:val="00306CAE"/>
    <w:rsid w:val="003072E5"/>
    <w:rsid w:val="00313212"/>
    <w:rsid w:val="003147FE"/>
    <w:rsid w:val="00315CDA"/>
    <w:rsid w:val="00316D78"/>
    <w:rsid w:val="00322422"/>
    <w:rsid w:val="00324363"/>
    <w:rsid w:val="003300F9"/>
    <w:rsid w:val="00330F3E"/>
    <w:rsid w:val="0034358D"/>
    <w:rsid w:val="00344C87"/>
    <w:rsid w:val="00360B18"/>
    <w:rsid w:val="00360C24"/>
    <w:rsid w:val="00380AF3"/>
    <w:rsid w:val="00384BE5"/>
    <w:rsid w:val="003945CC"/>
    <w:rsid w:val="003961B3"/>
    <w:rsid w:val="003A7C53"/>
    <w:rsid w:val="003B1D22"/>
    <w:rsid w:val="003B67FB"/>
    <w:rsid w:val="003E1C7C"/>
    <w:rsid w:val="003E2506"/>
    <w:rsid w:val="003F12F8"/>
    <w:rsid w:val="003F551C"/>
    <w:rsid w:val="004017CD"/>
    <w:rsid w:val="004024ED"/>
    <w:rsid w:val="00403499"/>
    <w:rsid w:val="00411E68"/>
    <w:rsid w:val="00427EDA"/>
    <w:rsid w:val="00432BD8"/>
    <w:rsid w:val="00433A78"/>
    <w:rsid w:val="00444547"/>
    <w:rsid w:val="004506D8"/>
    <w:rsid w:val="00456B5C"/>
    <w:rsid w:val="00456FCD"/>
    <w:rsid w:val="0046635F"/>
    <w:rsid w:val="0047077E"/>
    <w:rsid w:val="00472D23"/>
    <w:rsid w:val="004765EC"/>
    <w:rsid w:val="0048079C"/>
    <w:rsid w:val="00482E57"/>
    <w:rsid w:val="00496EAC"/>
    <w:rsid w:val="004A1BBA"/>
    <w:rsid w:val="004A21B3"/>
    <w:rsid w:val="004A2482"/>
    <w:rsid w:val="004A2FAC"/>
    <w:rsid w:val="004A4F6C"/>
    <w:rsid w:val="004A6867"/>
    <w:rsid w:val="004B0F46"/>
    <w:rsid w:val="004C6948"/>
    <w:rsid w:val="004D24E1"/>
    <w:rsid w:val="004E1F13"/>
    <w:rsid w:val="004E7513"/>
    <w:rsid w:val="004E7860"/>
    <w:rsid w:val="004F2C0A"/>
    <w:rsid w:val="004F6EE4"/>
    <w:rsid w:val="005031B4"/>
    <w:rsid w:val="0054430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C4774"/>
    <w:rsid w:val="005C71B8"/>
    <w:rsid w:val="005D3B30"/>
    <w:rsid w:val="005D4123"/>
    <w:rsid w:val="005D6060"/>
    <w:rsid w:val="005D77D6"/>
    <w:rsid w:val="005E236A"/>
    <w:rsid w:val="005E5121"/>
    <w:rsid w:val="005F3215"/>
    <w:rsid w:val="005F7331"/>
    <w:rsid w:val="00605168"/>
    <w:rsid w:val="00607918"/>
    <w:rsid w:val="00630C03"/>
    <w:rsid w:val="0063304B"/>
    <w:rsid w:val="0063441A"/>
    <w:rsid w:val="00641752"/>
    <w:rsid w:val="00648E50"/>
    <w:rsid w:val="006504B4"/>
    <w:rsid w:val="00651CBB"/>
    <w:rsid w:val="006548D8"/>
    <w:rsid w:val="00665F13"/>
    <w:rsid w:val="00666676"/>
    <w:rsid w:val="00670BE1"/>
    <w:rsid w:val="006721E0"/>
    <w:rsid w:val="00672A63"/>
    <w:rsid w:val="00682314"/>
    <w:rsid w:val="006919CA"/>
    <w:rsid w:val="006A3B32"/>
    <w:rsid w:val="006A53D4"/>
    <w:rsid w:val="006A60BC"/>
    <w:rsid w:val="006B1D69"/>
    <w:rsid w:val="006C113F"/>
    <w:rsid w:val="006C1C44"/>
    <w:rsid w:val="006C7820"/>
    <w:rsid w:val="006D1889"/>
    <w:rsid w:val="006E2614"/>
    <w:rsid w:val="006F4025"/>
    <w:rsid w:val="006F4B70"/>
    <w:rsid w:val="0071738A"/>
    <w:rsid w:val="0072049F"/>
    <w:rsid w:val="0072211D"/>
    <w:rsid w:val="00725B2E"/>
    <w:rsid w:val="00726F18"/>
    <w:rsid w:val="00731336"/>
    <w:rsid w:val="00734507"/>
    <w:rsid w:val="00743019"/>
    <w:rsid w:val="007467AD"/>
    <w:rsid w:val="00747D58"/>
    <w:rsid w:val="00753EAB"/>
    <w:rsid w:val="00762B69"/>
    <w:rsid w:val="007663BA"/>
    <w:rsid w:val="00785173"/>
    <w:rsid w:val="00790F34"/>
    <w:rsid w:val="007C067D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4760"/>
    <w:rsid w:val="0081547B"/>
    <w:rsid w:val="008155DE"/>
    <w:rsid w:val="008162F7"/>
    <w:rsid w:val="00816326"/>
    <w:rsid w:val="008223D9"/>
    <w:rsid w:val="008238A3"/>
    <w:rsid w:val="00832D44"/>
    <w:rsid w:val="00841DF8"/>
    <w:rsid w:val="008467F2"/>
    <w:rsid w:val="00847668"/>
    <w:rsid w:val="00853840"/>
    <w:rsid w:val="00855B4A"/>
    <w:rsid w:val="00862093"/>
    <w:rsid w:val="008620E7"/>
    <w:rsid w:val="00862293"/>
    <w:rsid w:val="00875273"/>
    <w:rsid w:val="00875B1B"/>
    <w:rsid w:val="00875E0A"/>
    <w:rsid w:val="00876D94"/>
    <w:rsid w:val="00884ECB"/>
    <w:rsid w:val="00894003"/>
    <w:rsid w:val="008945B9"/>
    <w:rsid w:val="008B4F1C"/>
    <w:rsid w:val="008B649A"/>
    <w:rsid w:val="008B6513"/>
    <w:rsid w:val="008C4FB6"/>
    <w:rsid w:val="008C5FEE"/>
    <w:rsid w:val="008C6696"/>
    <w:rsid w:val="008D555E"/>
    <w:rsid w:val="008E045F"/>
    <w:rsid w:val="008E0F88"/>
    <w:rsid w:val="008E177A"/>
    <w:rsid w:val="008E1913"/>
    <w:rsid w:val="008F783A"/>
    <w:rsid w:val="00901008"/>
    <w:rsid w:val="00901B25"/>
    <w:rsid w:val="00911456"/>
    <w:rsid w:val="0091271D"/>
    <w:rsid w:val="00912B76"/>
    <w:rsid w:val="00915E83"/>
    <w:rsid w:val="00920F32"/>
    <w:rsid w:val="00927707"/>
    <w:rsid w:val="00930A05"/>
    <w:rsid w:val="0094493B"/>
    <w:rsid w:val="00946231"/>
    <w:rsid w:val="00957419"/>
    <w:rsid w:val="009576A9"/>
    <w:rsid w:val="00964D48"/>
    <w:rsid w:val="0096514D"/>
    <w:rsid w:val="00966B3E"/>
    <w:rsid w:val="00970360"/>
    <w:rsid w:val="00981727"/>
    <w:rsid w:val="00985229"/>
    <w:rsid w:val="00986062"/>
    <w:rsid w:val="00986423"/>
    <w:rsid w:val="009A19D3"/>
    <w:rsid w:val="009B4CB1"/>
    <w:rsid w:val="009B577C"/>
    <w:rsid w:val="009C12AA"/>
    <w:rsid w:val="009C3861"/>
    <w:rsid w:val="009C3DF2"/>
    <w:rsid w:val="009D0F79"/>
    <w:rsid w:val="009D727A"/>
    <w:rsid w:val="009E1DD4"/>
    <w:rsid w:val="009E57C5"/>
    <w:rsid w:val="009E596D"/>
    <w:rsid w:val="009F4DB7"/>
    <w:rsid w:val="00A02013"/>
    <w:rsid w:val="00A17CB6"/>
    <w:rsid w:val="00A20E89"/>
    <w:rsid w:val="00A241A7"/>
    <w:rsid w:val="00A24F91"/>
    <w:rsid w:val="00A30B00"/>
    <w:rsid w:val="00A32877"/>
    <w:rsid w:val="00A44163"/>
    <w:rsid w:val="00A51CF4"/>
    <w:rsid w:val="00A528C4"/>
    <w:rsid w:val="00A53E52"/>
    <w:rsid w:val="00A631B0"/>
    <w:rsid w:val="00A66312"/>
    <w:rsid w:val="00A6696A"/>
    <w:rsid w:val="00A81181"/>
    <w:rsid w:val="00A82426"/>
    <w:rsid w:val="00A84A25"/>
    <w:rsid w:val="00A90C7A"/>
    <w:rsid w:val="00A94A10"/>
    <w:rsid w:val="00A95E6E"/>
    <w:rsid w:val="00A97E95"/>
    <w:rsid w:val="00AA64D7"/>
    <w:rsid w:val="00AA7668"/>
    <w:rsid w:val="00AC2BF1"/>
    <w:rsid w:val="00AC36B6"/>
    <w:rsid w:val="00AC3ACE"/>
    <w:rsid w:val="00AC5372"/>
    <w:rsid w:val="00AC5733"/>
    <w:rsid w:val="00AD5358"/>
    <w:rsid w:val="00AE4652"/>
    <w:rsid w:val="00AE64E6"/>
    <w:rsid w:val="00AF372E"/>
    <w:rsid w:val="00AF758C"/>
    <w:rsid w:val="00B04C87"/>
    <w:rsid w:val="00B10847"/>
    <w:rsid w:val="00B24D93"/>
    <w:rsid w:val="00B41602"/>
    <w:rsid w:val="00B4255E"/>
    <w:rsid w:val="00B463BC"/>
    <w:rsid w:val="00B61F6D"/>
    <w:rsid w:val="00B6699B"/>
    <w:rsid w:val="00B7224D"/>
    <w:rsid w:val="00B73EE9"/>
    <w:rsid w:val="00B7464F"/>
    <w:rsid w:val="00B75809"/>
    <w:rsid w:val="00B84255"/>
    <w:rsid w:val="00B84819"/>
    <w:rsid w:val="00BA3380"/>
    <w:rsid w:val="00BA44C8"/>
    <w:rsid w:val="00BA5081"/>
    <w:rsid w:val="00BB1F06"/>
    <w:rsid w:val="00BB555A"/>
    <w:rsid w:val="00BC2B73"/>
    <w:rsid w:val="00BD36B5"/>
    <w:rsid w:val="00BE02DB"/>
    <w:rsid w:val="00BE2BFA"/>
    <w:rsid w:val="00BE47CE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54FC"/>
    <w:rsid w:val="00C538B7"/>
    <w:rsid w:val="00C56339"/>
    <w:rsid w:val="00C57B21"/>
    <w:rsid w:val="00C57DC9"/>
    <w:rsid w:val="00C6378F"/>
    <w:rsid w:val="00C66230"/>
    <w:rsid w:val="00C74286"/>
    <w:rsid w:val="00C7452B"/>
    <w:rsid w:val="00C75A2B"/>
    <w:rsid w:val="00C80D4B"/>
    <w:rsid w:val="00C83939"/>
    <w:rsid w:val="00C84D0E"/>
    <w:rsid w:val="00C8581E"/>
    <w:rsid w:val="00C93F25"/>
    <w:rsid w:val="00CA41E2"/>
    <w:rsid w:val="00CB1B4C"/>
    <w:rsid w:val="00CB2ACD"/>
    <w:rsid w:val="00CB7C6E"/>
    <w:rsid w:val="00CC0491"/>
    <w:rsid w:val="00CC05CB"/>
    <w:rsid w:val="00CC1FAA"/>
    <w:rsid w:val="00CC2FD6"/>
    <w:rsid w:val="00D117C8"/>
    <w:rsid w:val="00D127EF"/>
    <w:rsid w:val="00D14539"/>
    <w:rsid w:val="00D165E8"/>
    <w:rsid w:val="00D16655"/>
    <w:rsid w:val="00D17E09"/>
    <w:rsid w:val="00D2080C"/>
    <w:rsid w:val="00D31961"/>
    <w:rsid w:val="00D35380"/>
    <w:rsid w:val="00D353C2"/>
    <w:rsid w:val="00D36715"/>
    <w:rsid w:val="00D40733"/>
    <w:rsid w:val="00D41616"/>
    <w:rsid w:val="00D42EB9"/>
    <w:rsid w:val="00D4334A"/>
    <w:rsid w:val="00D44B4A"/>
    <w:rsid w:val="00D5484E"/>
    <w:rsid w:val="00D57AFA"/>
    <w:rsid w:val="00D65D10"/>
    <w:rsid w:val="00D67AF0"/>
    <w:rsid w:val="00D70D92"/>
    <w:rsid w:val="00D71480"/>
    <w:rsid w:val="00D8138D"/>
    <w:rsid w:val="00D86BCA"/>
    <w:rsid w:val="00D87B42"/>
    <w:rsid w:val="00DA5199"/>
    <w:rsid w:val="00DC2B0D"/>
    <w:rsid w:val="00DC6B6A"/>
    <w:rsid w:val="00DD6E65"/>
    <w:rsid w:val="00DD7653"/>
    <w:rsid w:val="00DE0A6D"/>
    <w:rsid w:val="00DF0780"/>
    <w:rsid w:val="00E031D8"/>
    <w:rsid w:val="00E070A5"/>
    <w:rsid w:val="00E120D7"/>
    <w:rsid w:val="00E31CF0"/>
    <w:rsid w:val="00E47FDB"/>
    <w:rsid w:val="00E50645"/>
    <w:rsid w:val="00E56588"/>
    <w:rsid w:val="00E625BC"/>
    <w:rsid w:val="00E67D7C"/>
    <w:rsid w:val="00E73191"/>
    <w:rsid w:val="00E7790E"/>
    <w:rsid w:val="00E9130D"/>
    <w:rsid w:val="00E979A9"/>
    <w:rsid w:val="00E97C1B"/>
    <w:rsid w:val="00EA528E"/>
    <w:rsid w:val="00EA62EA"/>
    <w:rsid w:val="00EA72DD"/>
    <w:rsid w:val="00EB0BA8"/>
    <w:rsid w:val="00EC04C9"/>
    <w:rsid w:val="00EC7830"/>
    <w:rsid w:val="00ED3192"/>
    <w:rsid w:val="00EE0612"/>
    <w:rsid w:val="00EE0AE7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330E5"/>
    <w:rsid w:val="00F410D7"/>
    <w:rsid w:val="00F4270B"/>
    <w:rsid w:val="00F429C2"/>
    <w:rsid w:val="00F43AED"/>
    <w:rsid w:val="00F4478B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C72FE"/>
    <w:rsid w:val="00FD6280"/>
    <w:rsid w:val="00FE1A71"/>
    <w:rsid w:val="00FE2AA3"/>
    <w:rsid w:val="00FF1C54"/>
    <w:rsid w:val="00FF4D20"/>
    <w:rsid w:val="0262FCB0"/>
    <w:rsid w:val="0F9FFFA8"/>
    <w:rsid w:val="1F767EC6"/>
    <w:rsid w:val="23108A17"/>
    <w:rsid w:val="310E8674"/>
    <w:rsid w:val="40A60995"/>
    <w:rsid w:val="440E55D6"/>
    <w:rsid w:val="444B93BC"/>
    <w:rsid w:val="69CF80C6"/>
    <w:rsid w:val="6B6B5127"/>
    <w:rsid w:val="7B8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45483"/>
  <w15:docId w15:val="{3506785E-912D-4023-A1CF-71BF6034CB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pPrDefault/>
    <w:rPrDefault>
      <w:rPr>
        <w:rFonts w:ascii="Courier" w:hAnsi="Courier" w:cs="Times New Roman" w:eastAsia="Times New Roman"/>
      </w:rPr>
    </w:r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 w:themeColor="accent2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styleId="Soit-1" w:customStyle="1">
    <w:name w:val="Soit -1"/>
    <w:basedOn w:val="Soit"/>
    <w:rsid w:val="00275014"/>
    <w:pPr>
      <w:ind w:left="851"/>
    </w:p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color w:val="008080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</w:rPr>
  </w:style>
  <w:style w:type="paragraph" w:styleId="Note" w:customStyle="1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Standaard"/>
    <w:rsid w:val="00AA766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ormaltextrun" w:customStyle="1">
    <w:name w:val="normaltextrun"/>
    <w:basedOn w:val="Standaardalinea-lettertype"/>
    <w:rsid w:val="00AA7668"/>
  </w:style>
  <w:style w:type="character" w:styleId="eop" w:customStyle="1">
    <w:name w:val="eop"/>
    <w:basedOn w:val="Standaardalinea-lettertype"/>
    <w:rsid w:val="00AA7668"/>
  </w:style>
  <w:style w:type="paragraph" w:styleId="Lijstalinea">
    <w:name w:val="List Paragraph"/>
    <w:basedOn w:val="Standaard"/>
    <w:uiPriority w:val="34"/>
    <w:qFormat/>
    <w:rsid w:val="007C067D"/>
    <w:pPr>
      <w:ind w:left="720"/>
      <w:contextualSpacing/>
    </w:pPr>
  </w:style>
  <w:style w:type="paragraph" w:styleId="P68B1DB1-Standaard2" w:customStyle="1">
    <w:name w:val="P68B1DB1-Standaard2"/>
    <w:basedOn w:val="Standaard"/>
    <w:rsid w:val="00F4478B"/>
    <w:rPr>
      <w:rFonts w:cs="Arial"/>
      <w:color w:val="000000"/>
    </w:rPr>
  </w:style>
  <w:style w:type="paragraph" w:styleId="P68B1DB1-Kop51">
    <w:name w:val="P68B1DB1-Kop51"/>
    <w:basedOn w:val="Kop5"/>
    <w:rPr>
      <w:rFonts w:asciiTheme="minorHAnsi" w:hAnsiTheme="minorHAnsi"/>
    </w:rPr>
  </w:style>
  <w:style w:type="paragraph" w:styleId="P68B1DB1-P68B1DB1-Standaard22">
    <w:name w:val="P68B1DB1-P68B1DB1-Standaard22"/>
    <w:basedOn w:val="P68B1DB1-Standaard2"/>
    <w:rPr>
      <w:vertAlign w:val="subscript"/>
    </w:rPr>
  </w:style>
  <w:style w:type="paragraph" w:styleId="P68B1DB1-Standaard3">
    <w:name w:val="P68B1DB1-Standaard3"/>
    <w:basedOn w:val="Standaard"/>
    <w:rPr>
      <w:color w:val="008080"/>
    </w:rPr>
  </w:style>
  <w:style w:type="paragraph" w:styleId="P68B1DB1-OFWEL4">
    <w:name w:val="P68B1DB1-OFWEL4"/>
    <w:basedOn w:val="OFWEL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49CD9-EC5F-48E8-889E-269C2898B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D51A1-D2B9-44B7-872D-1D9BB47CD003}"/>
</file>

<file path=customXml/itemProps3.xml><?xml version="1.0" encoding="utf-8"?>
<ds:datastoreItem xmlns:ds="http://schemas.openxmlformats.org/officeDocument/2006/customXml" ds:itemID="{C0BBD880-41BD-483C-B323-4ED57C14A2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113</cp:revision>
  <cp:lastPrinted>2016-03-22T16:03:00Z</cp:lastPrinted>
  <dcterms:created xsi:type="dcterms:W3CDTF">2023-12-12T12:27:00Z</dcterms:created>
  <dcterms:modified xsi:type="dcterms:W3CDTF">2024-02-05T12:26:14Z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