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4EF0" w14:textId="77777777">
      <w:pPr>
        <w:pStyle w:val="Kop1"/>
      </w:pPr>
      <w:r>
        <w:t xml:space="preserve">Surface-mounted internal louvre DucoGrille Close M100</w:t>
      </w:r>
    </w:p>
    <w:p w14:paraId="2F834EF1" w14:textId="77777777">
      <w:pPr>
        <w:pStyle w:val="Geenafstand"/>
      </w:pPr>
    </w:p>
    <w:p w14:paraId="2F834EF2" w14:textId="075F0EF5">
      <w:pPr>
        <w:pStyle w:val="Geenafstand"/>
      </w:pPr>
      <w:r>
        <w:t xml:space="preserve">Manufactured by: DUCO Ventilation &amp; Sun Control</w:t>
      </w:r>
    </w:p>
    <w:p w14:paraId="2F834EF3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Close M 100 is a closable surface-mounted internal louvre manufactured from extruded aluminium sections. The plastic sliders provide adjustable ventilation. The DucoGrille Close M 100 is available as standard with heights of 200 or 300 mm and the width can vary up to a maximum of 1,000 mm.</w:t>
      </w:r>
    </w:p>
    <w:p w14:paraId="2F834EF4" w14:textId="77777777">
      <w:pPr>
        <w:pStyle w:val="Geenafstand"/>
      </w:pPr>
    </w:p>
    <w:p w14:paraId="2F834EF5" w14:textId="77777777">
      <w:pPr>
        <w:pStyle w:val="Kop2"/>
      </w:pPr>
      <w:r>
        <w:t>Features:</w:t>
      </w:r>
    </w:p>
    <w:p w14:paraId="2F834EF6" w14:textId="17A12339">
      <w:pPr>
        <w:pStyle w:val="Geenafstand"/>
        <w:numPr>
          <w:ilvl w:val="0"/>
          <w:numId w:val="15"/>
        </w:numPr>
      </w:pPr>
      <w:r>
        <w:t xml:space="preserve">Frame width: 13 mm</w:t>
      </w:r>
    </w:p>
    <w:p w14:paraId="2F834EF7" w14:textId="1BD10B4A">
      <w:pPr>
        <w:pStyle w:val="Geenafstand"/>
        <w:numPr>
          <w:ilvl w:val="0"/>
          <w:numId w:val="15"/>
        </w:numPr>
      </w:pPr>
      <w:r>
        <w:t xml:space="preserve">Frame rebate: 20 mm</w:t>
      </w:r>
    </w:p>
    <w:p w14:paraId="2F834EF8" w14:textId="3DAAD798">
      <w:pPr>
        <w:pStyle w:val="Geenafstand"/>
        <w:numPr>
          <w:ilvl w:val="0"/>
          <w:numId w:val="15"/>
        </w:numPr>
      </w:pPr>
      <w:r>
        <w:t xml:space="preserve">Visual free area: 28 %</w:t>
      </w:r>
    </w:p>
    <w:p w14:paraId="2F834EF9" w14:textId="5E1DC785">
      <w:pPr>
        <w:pStyle w:val="Geenafstand"/>
        <w:numPr>
          <w:ilvl w:val="0"/>
          <w:numId w:val="15"/>
        </w:numPr>
      </w:pPr>
      <w:r>
        <w:t xml:space="preserve">Physical free area: 28 %</w:t>
      </w:r>
    </w:p>
    <w:p w14:paraId="2F834EFA" w14:textId="77777777">
      <w:pPr>
        <w:pStyle w:val="Geenafstand"/>
      </w:pPr>
    </w:p>
    <w:p w14:paraId="2F834EFB" w14:textId="77777777">
      <w:pPr>
        <w:pStyle w:val="Kop2"/>
      </w:pPr>
      <w:r>
        <w:t xml:space="preserve">Accessories (included):</w:t>
      </w:r>
    </w:p>
    <w:p w14:paraId="2F834EFC" w14:textId="77777777">
      <w:pPr>
        <w:pStyle w:val="Geenafstand"/>
        <w:numPr>
          <w:ilvl w:val="0"/>
          <w:numId w:val="18"/>
        </w:numPr>
      </w:pPr>
      <w:r>
        <w:t xml:space="preserve">Fixing lugs</w:t>
      </w:r>
    </w:p>
    <w:p w14:paraId="2F834EFD" w14:textId="77777777">
      <w:pPr>
        <w:pStyle w:val="Geenafstand"/>
      </w:pPr>
    </w:p>
    <w:p w14:paraId="2F834EFE" w14:textId="77777777">
      <w:pPr>
        <w:pStyle w:val="Kop2"/>
      </w:pPr>
      <w:r>
        <w:t xml:space="preserve">Surface treatment:</w:t>
      </w:r>
    </w:p>
    <w:p w14:paraId="2F834EFF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2F834F00" w14:textId="113C45CF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2F834F01" w14:textId="7B0BF123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2F834F02" w14:textId="77777777">
      <w:pPr>
        <w:pStyle w:val="Geenafstand"/>
        <w:rPr>
          <w:highlight w:val="yellow"/>
        </w:rPr>
      </w:pPr>
    </w:p>
    <w:p w14:paraId="2F834F03" w14:textId="77777777">
      <w:pPr>
        <w:pStyle w:val="Kop2"/>
      </w:pPr>
      <w:r>
        <w:t xml:space="preserve">Functional specifications:</w:t>
      </w:r>
    </w:p>
    <w:p w14:paraId="2F834F04" w14:textId="77777777">
      <w:pPr>
        <w:pStyle w:val="Kop3"/>
        <w:numPr>
          <w:ilvl w:val="0"/>
          <w:numId w:val="17"/>
        </w:numPr>
      </w:pPr>
      <w:r>
        <w:t xml:space="preserve">Flow rate:</w:t>
      </w:r>
    </w:p>
    <w:p w14:paraId="2F834F05" w14:textId="0FE7DDB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89.00</w:t>
      </w:r>
    </w:p>
    <w:p w14:paraId="2F834F06" w14:textId="4610BF8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89.00</w:t>
      </w:r>
    </w:p>
    <w:p w14:paraId="2F834F07" w14:textId="73BB8805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0.106</w:t>
      </w:r>
    </w:p>
    <w:p w14:paraId="2F834F08" w14:textId="314D70E3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0.106</w:t>
      </w:r>
    </w:p>
    <w:p w14:paraId="2F834F09" w14:textId="77777777">
      <w:pPr>
        <w:pStyle w:val="Geenafstand"/>
        <w:rPr>
          <w:rFonts w:cs="Tahoma"/>
        </w:rPr>
      </w:pPr>
    </w:p>
    <w:p w14:paraId="2F834F0A" w14:textId="77777777">
      <w:pPr>
        <w:pStyle w:val="Kop2"/>
      </w:pPr>
      <w:r>
        <w:t xml:space="preserve">Complies with or tested in accordance with the following standards:</w:t>
      </w:r>
    </w:p>
    <w:p w14:paraId="2F834F0B" w14:textId="2BC90E3A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(if painted finish)</w:t>
      </w:r>
    </w:p>
    <w:p w14:paraId="2F834F0C" w14:textId="77777777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2F834F0D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2F834F0E" w14:textId="5B339345">
      <w:pPr>
        <w:pStyle w:val="P68B1DB1-Geenafstand4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064C" w14:textId="77777777">
      <w:r>
        <w:separator/>
      </w:r>
    </w:p>
  </w:endnote>
  <w:endnote w:type="continuationSeparator" w:id="0">
    <w:p w14:paraId="32D2B6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6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F218" w14:textId="77777777">
      <w:r>
        <w:separator/>
      </w:r>
    </w:p>
  </w:footnote>
  <w:footnote w:type="continuationSeparator" w:id="0">
    <w:p w14:paraId="621A7A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3" w14:textId="77777777">
    <w:pPr>
      <w:pStyle w:val="Koptekst"/>
    </w:pPr>
    <w:r>
      <w:pict w14:anchorId="2F834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4" w14:textId="77777777">
    <w:pPr>
      <w:pStyle w:val="Koptekst"/>
    </w:pPr>
    <w:r>
      <w:pict w14:anchorId="2F834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7" w14:textId="77777777">
    <w:pPr>
      <w:pStyle w:val="Koptekst"/>
    </w:pPr>
    <w:r>
      <w:pict w14:anchorId="2F834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E956D3"/>
    <w:multiLevelType w:val="hybridMultilevel"/>
    <w:tmpl w:val="56600406"/>
    <w:lvl w:ilvl="0" w:tplc="53787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EB23CCC"/>
    <w:multiLevelType w:val="hybridMultilevel"/>
    <w:tmpl w:val="4C281B36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EC6E000E"/>
    <w:lvl w:ilvl="0" w:tplc="9680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7932">
    <w:abstractNumId w:val="22"/>
  </w:num>
  <w:num w:numId="2" w16cid:durableId="745690766">
    <w:abstractNumId w:val="18"/>
  </w:num>
  <w:num w:numId="3" w16cid:durableId="1147169854">
    <w:abstractNumId w:val="10"/>
  </w:num>
  <w:num w:numId="4" w16cid:durableId="525564684">
    <w:abstractNumId w:val="6"/>
  </w:num>
  <w:num w:numId="5" w16cid:durableId="1121848554">
    <w:abstractNumId w:val="5"/>
  </w:num>
  <w:num w:numId="6" w16cid:durableId="1012535053">
    <w:abstractNumId w:val="9"/>
  </w:num>
  <w:num w:numId="7" w16cid:durableId="1028917155">
    <w:abstractNumId w:val="4"/>
  </w:num>
  <w:num w:numId="8" w16cid:durableId="1392534990">
    <w:abstractNumId w:val="3"/>
  </w:num>
  <w:num w:numId="9" w16cid:durableId="545331742">
    <w:abstractNumId w:val="2"/>
  </w:num>
  <w:num w:numId="10" w16cid:durableId="2027900288">
    <w:abstractNumId w:val="1"/>
  </w:num>
  <w:num w:numId="11" w16cid:durableId="1256286395">
    <w:abstractNumId w:val="0"/>
  </w:num>
  <w:num w:numId="12" w16cid:durableId="149567191">
    <w:abstractNumId w:val="7"/>
  </w:num>
  <w:num w:numId="13" w16cid:durableId="197595335">
    <w:abstractNumId w:val="8"/>
  </w:num>
  <w:num w:numId="14" w16cid:durableId="1517698141">
    <w:abstractNumId w:val="21"/>
  </w:num>
  <w:num w:numId="15" w16cid:durableId="1493332762">
    <w:abstractNumId w:val="12"/>
  </w:num>
  <w:num w:numId="16" w16cid:durableId="1604417611">
    <w:abstractNumId w:val="20"/>
  </w:num>
  <w:num w:numId="17" w16cid:durableId="802694050">
    <w:abstractNumId w:val="14"/>
  </w:num>
  <w:num w:numId="18" w16cid:durableId="84621417">
    <w:abstractNumId w:val="19"/>
  </w:num>
  <w:num w:numId="19" w16cid:durableId="1689485039">
    <w:abstractNumId w:val="13"/>
  </w:num>
  <w:num w:numId="20" w16cid:durableId="1917131568">
    <w:abstractNumId w:val="17"/>
  </w:num>
  <w:num w:numId="21" w16cid:durableId="617372950">
    <w:abstractNumId w:val="15"/>
  </w:num>
  <w:num w:numId="22" w16cid:durableId="2025933864">
    <w:abstractNumId w:val="11"/>
  </w:num>
  <w:num w:numId="23" w16cid:durableId="8860714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42A3"/>
    <w:rsid w:val="000974F5"/>
    <w:rsid w:val="000A4893"/>
    <w:rsid w:val="000D4094"/>
    <w:rsid w:val="001470E4"/>
    <w:rsid w:val="00153EEE"/>
    <w:rsid w:val="001C548A"/>
    <w:rsid w:val="002047D0"/>
    <w:rsid w:val="00222F29"/>
    <w:rsid w:val="002A46E2"/>
    <w:rsid w:val="002D28BD"/>
    <w:rsid w:val="002D3BB5"/>
    <w:rsid w:val="002E1849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B03E9"/>
    <w:rsid w:val="006C3D0E"/>
    <w:rsid w:val="006F20DB"/>
    <w:rsid w:val="00735DA3"/>
    <w:rsid w:val="00737673"/>
    <w:rsid w:val="00787799"/>
    <w:rsid w:val="007A06F7"/>
    <w:rsid w:val="007B4030"/>
    <w:rsid w:val="007D5206"/>
    <w:rsid w:val="00816D7F"/>
    <w:rsid w:val="008C0694"/>
    <w:rsid w:val="008D1CFA"/>
    <w:rsid w:val="00907396"/>
    <w:rsid w:val="0092495C"/>
    <w:rsid w:val="009A17EA"/>
    <w:rsid w:val="009E48BB"/>
    <w:rsid w:val="00A231A8"/>
    <w:rsid w:val="00A52BEC"/>
    <w:rsid w:val="00AD47C5"/>
    <w:rsid w:val="00AD7B0A"/>
    <w:rsid w:val="00B10DC4"/>
    <w:rsid w:val="00B20205"/>
    <w:rsid w:val="00B21D6F"/>
    <w:rsid w:val="00B33D5D"/>
    <w:rsid w:val="00B73824"/>
    <w:rsid w:val="00BC2A15"/>
    <w:rsid w:val="00C11DFF"/>
    <w:rsid w:val="00CA398E"/>
    <w:rsid w:val="00CB5A3D"/>
    <w:rsid w:val="00D0178E"/>
    <w:rsid w:val="00D34B9C"/>
    <w:rsid w:val="00D565CD"/>
    <w:rsid w:val="00DA7063"/>
    <w:rsid w:val="00DB27BA"/>
    <w:rsid w:val="00E1209B"/>
    <w:rsid w:val="00E623A1"/>
    <w:rsid w:val="00E62CB3"/>
    <w:rsid w:val="00F01670"/>
    <w:rsid w:val="00F12C0E"/>
    <w:rsid w:val="00F61016"/>
    <w:rsid w:val="00FB340A"/>
    <w:rsid w:val="1C92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834EF0"/>
  <w15:docId w15:val="{7D181EC6-43E8-41DB-A39B-32D1DA1C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E1692-EB4B-4E69-BFE7-BA26E3DA3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878D8-EFD3-495D-9A76-55680234C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C3AE7-FAE1-4CF6-BBFC-C831B75544FB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14</cp:revision>
  <cp:lastPrinted>2016-03-07T09:51:00Z</cp:lastPrinted>
  <dcterms:created xsi:type="dcterms:W3CDTF">2016-09-28T14:31:00Z</dcterms:created>
  <dcterms:modified xsi:type="dcterms:W3CDTF">2022-12-02T10:43:00Z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