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4EF0" w14:textId="77777777">
      <w:pPr>
        <w:pStyle w:val="Kop1"/>
      </w:pPr>
      <w:r>
        <w:t xml:space="preserve">Grille intérieure à montage en applique DucoGrille Close M100</w:t>
      </w:r>
    </w:p>
    <w:p w14:paraId="2F834EF1" w14:textId="77777777">
      <w:pPr>
        <w:pStyle w:val="Geenafstand"/>
      </w:pPr>
    </w:p>
    <w:p w14:paraId="2F834EF2" w14:textId="075F0EF5">
      <w:pPr>
        <w:pStyle w:val="Geenafstand"/>
      </w:pPr>
      <w:r>
        <w:t xml:space="preserve">Fabrication : DUCO Ventilation &amp; Sun Control</w:t>
      </w:r>
    </w:p>
    <w:p w14:paraId="2F834EF3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Le modèle DucoGrille Close M 100 est une grille intérieure obturable à montage en applique, réalisée à l’aide de profilés extrudés en aluminium. Les glissières en plastique permettent une ventilation réglable. Le modèle DucoGrille Close M 100 est disponible en standard avec une hauteur de 200 ou 300 mm, et la largeur peut varier jusqu'à un maximum de 1000 mm.</w:t>
      </w:r>
    </w:p>
    <w:p w14:paraId="2F834EF4" w14:textId="77777777">
      <w:pPr>
        <w:pStyle w:val="Geenafstand"/>
      </w:pPr>
    </w:p>
    <w:p w14:paraId="2F834EF5" w14:textId="77777777">
      <w:pPr>
        <w:pStyle w:val="Kop2"/>
      </w:pPr>
      <w:r>
        <w:t xml:space="preserve">Caractéristiques :</w:t>
      </w:r>
    </w:p>
    <w:p w14:paraId="2F834EF6" w14:textId="17A12339">
      <w:pPr>
        <w:pStyle w:val="Geenafstand"/>
        <w:numPr>
          <w:ilvl w:val="0"/>
          <w:numId w:val="15"/>
        </w:numPr>
      </w:pPr>
      <w:r>
        <w:t xml:space="preserve">Largeur du cadre : 13 mm</w:t>
      </w:r>
    </w:p>
    <w:p w14:paraId="2F834EF7" w14:textId="1BD10B4A">
      <w:pPr>
        <w:pStyle w:val="Geenafstand"/>
        <w:numPr>
          <w:ilvl w:val="0"/>
          <w:numId w:val="15"/>
        </w:numPr>
      </w:pPr>
      <w:r>
        <w:t xml:space="preserve">Butée du cadre : 20 mm</w:t>
      </w:r>
    </w:p>
    <w:p w14:paraId="2F834EF8" w14:textId="3DAAD798">
      <w:pPr>
        <w:pStyle w:val="Geenafstand"/>
        <w:numPr>
          <w:ilvl w:val="0"/>
          <w:numId w:val="15"/>
        </w:numPr>
      </w:pPr>
      <w:r>
        <w:t xml:space="preserve">Surface visuelle libre : 28 %</w:t>
      </w:r>
    </w:p>
    <w:p w14:paraId="2F834EF9" w14:textId="5E1DC785">
      <w:pPr>
        <w:pStyle w:val="Geenafstand"/>
        <w:numPr>
          <w:ilvl w:val="0"/>
          <w:numId w:val="15"/>
        </w:numPr>
      </w:pPr>
      <w:r>
        <w:t xml:space="preserve">Surface physique libre : 28 %</w:t>
      </w:r>
    </w:p>
    <w:p w14:paraId="2F834EFA" w14:textId="77777777">
      <w:pPr>
        <w:pStyle w:val="Geenafstand"/>
      </w:pPr>
    </w:p>
    <w:p w14:paraId="2F834EFB" w14:textId="77777777">
      <w:pPr>
        <w:pStyle w:val="Kop2"/>
      </w:pPr>
      <w:r>
        <w:t xml:space="preserve">Accessoires (inclus) :</w:t>
      </w:r>
    </w:p>
    <w:p w14:paraId="2F834EFC" w14:textId="77777777">
      <w:pPr>
        <w:pStyle w:val="Geenafstand"/>
        <w:numPr>
          <w:ilvl w:val="0"/>
          <w:numId w:val="18"/>
        </w:numPr>
      </w:pPr>
      <w:r>
        <w:t xml:space="preserve">Pattes de fixation</w:t>
      </w:r>
    </w:p>
    <w:p w14:paraId="2F834EFD" w14:textId="77777777">
      <w:pPr>
        <w:pStyle w:val="Geenafstand"/>
      </w:pPr>
    </w:p>
    <w:p w14:paraId="2F834EFE" w14:textId="77777777">
      <w:pPr>
        <w:pStyle w:val="Kop2"/>
      </w:pPr>
      <w:r>
        <w:t xml:space="preserve">Traitement de surface :</w:t>
      </w:r>
    </w:p>
    <w:p w14:paraId="2F834EFF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2F834F00" w14:textId="113C45CF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2F834F01" w14:textId="7B0BF123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2F834F02" w14:textId="77777777">
      <w:pPr>
        <w:pStyle w:val="Geenafstand"/>
        <w:rPr>
          <w:highlight w:val="yellow"/>
        </w:rPr>
      </w:pPr>
    </w:p>
    <w:p w14:paraId="2F834F03" w14:textId="77777777">
      <w:pPr>
        <w:pStyle w:val="Kop2"/>
      </w:pPr>
      <w:r>
        <w:t xml:space="preserve">Caractéristiques fonctionnelles :</w:t>
      </w:r>
    </w:p>
    <w:p w14:paraId="2F834F04" w14:textId="77777777">
      <w:pPr>
        <w:pStyle w:val="Kop3"/>
        <w:numPr>
          <w:ilvl w:val="0"/>
          <w:numId w:val="17"/>
        </w:numPr>
      </w:pPr>
      <w:r>
        <w:t xml:space="preserve">Débit :</w:t>
      </w:r>
    </w:p>
    <w:p w14:paraId="2F834F05" w14:textId="0FE7DDB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89,00</w:t>
      </w:r>
    </w:p>
    <w:p w14:paraId="2F834F06" w14:textId="4610BF81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89,00</w:t>
      </w:r>
    </w:p>
    <w:p w14:paraId="2F834F07" w14:textId="73BB880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0,106</w:t>
      </w:r>
    </w:p>
    <w:p w14:paraId="2F834F08" w14:textId="314D70E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0,106</w:t>
      </w:r>
    </w:p>
    <w:p w14:paraId="2F834F09" w14:textId="77777777">
      <w:pPr>
        <w:pStyle w:val="Geenafstand"/>
        <w:rPr>
          <w:rFonts w:cs="Tahoma"/>
        </w:rPr>
      </w:pPr>
    </w:p>
    <w:p w14:paraId="2F834F0A" w14:textId="77777777">
      <w:pPr>
        <w:pStyle w:val="Kop2"/>
      </w:pPr>
      <w:r>
        <w:t xml:space="preserve">Conforme ou testé selon les normes :</w:t>
      </w:r>
    </w:p>
    <w:p w14:paraId="2F834F0B" w14:textId="2BC90E3A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(si finition thermolaqué)</w:t>
      </w:r>
    </w:p>
    <w:p w14:paraId="2F834F0C" w14:textId="77777777">
      <w:pPr>
        <w:pStyle w:val="P68B1DB1-bestektekst3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2F834F0D" w14:textId="77777777">
      <w:pPr>
        <w:pStyle w:val="P68B1DB1-Geenafstand4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2F834F0E" w14:textId="5B339345">
      <w:pPr>
        <w:pStyle w:val="P68B1DB1-Geenafstand4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064C" w14:textId="77777777">
      <w:r>
        <w:separator/>
      </w:r>
    </w:p>
  </w:endnote>
  <w:endnote w:type="continuationSeparator" w:id="0">
    <w:p w14:paraId="32D2B6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5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6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F218" w14:textId="77777777">
      <w:r>
        <w:separator/>
      </w:r>
    </w:p>
  </w:footnote>
  <w:footnote w:type="continuationSeparator" w:id="0">
    <w:p w14:paraId="621A7A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3" w14:textId="77777777">
    <w:pPr>
      <w:pStyle w:val="Koptekst"/>
    </w:pPr>
    <w:r>
      <w:pict w14:anchorId="2F834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4" w14:textId="77777777">
    <w:pPr>
      <w:pStyle w:val="Koptekst"/>
    </w:pPr>
    <w:r>
      <w:pict w14:anchorId="2F834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17" w14:textId="77777777">
    <w:pPr>
      <w:pStyle w:val="Koptekst"/>
    </w:pPr>
    <w:r>
      <w:pict w14:anchorId="2F834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CE956D3"/>
    <w:multiLevelType w:val="hybridMultilevel"/>
    <w:tmpl w:val="56600406"/>
    <w:lvl w:ilvl="0" w:tplc="537872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EB23CCC"/>
    <w:multiLevelType w:val="hybridMultilevel"/>
    <w:tmpl w:val="4C281B36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332510C"/>
    <w:multiLevelType w:val="hybridMultilevel"/>
    <w:tmpl w:val="EC6E000E"/>
    <w:lvl w:ilvl="0" w:tplc="9680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97932">
    <w:abstractNumId w:val="22"/>
  </w:num>
  <w:num w:numId="2" w16cid:durableId="745690766">
    <w:abstractNumId w:val="18"/>
  </w:num>
  <w:num w:numId="3" w16cid:durableId="1147169854">
    <w:abstractNumId w:val="10"/>
  </w:num>
  <w:num w:numId="4" w16cid:durableId="525564684">
    <w:abstractNumId w:val="6"/>
  </w:num>
  <w:num w:numId="5" w16cid:durableId="1121848554">
    <w:abstractNumId w:val="5"/>
  </w:num>
  <w:num w:numId="6" w16cid:durableId="1012535053">
    <w:abstractNumId w:val="9"/>
  </w:num>
  <w:num w:numId="7" w16cid:durableId="1028917155">
    <w:abstractNumId w:val="4"/>
  </w:num>
  <w:num w:numId="8" w16cid:durableId="1392534990">
    <w:abstractNumId w:val="3"/>
  </w:num>
  <w:num w:numId="9" w16cid:durableId="545331742">
    <w:abstractNumId w:val="2"/>
  </w:num>
  <w:num w:numId="10" w16cid:durableId="2027900288">
    <w:abstractNumId w:val="1"/>
  </w:num>
  <w:num w:numId="11" w16cid:durableId="1256286395">
    <w:abstractNumId w:val="0"/>
  </w:num>
  <w:num w:numId="12" w16cid:durableId="149567191">
    <w:abstractNumId w:val="7"/>
  </w:num>
  <w:num w:numId="13" w16cid:durableId="197595335">
    <w:abstractNumId w:val="8"/>
  </w:num>
  <w:num w:numId="14" w16cid:durableId="1517698141">
    <w:abstractNumId w:val="21"/>
  </w:num>
  <w:num w:numId="15" w16cid:durableId="1493332762">
    <w:abstractNumId w:val="12"/>
  </w:num>
  <w:num w:numId="16" w16cid:durableId="1604417611">
    <w:abstractNumId w:val="20"/>
  </w:num>
  <w:num w:numId="17" w16cid:durableId="802694050">
    <w:abstractNumId w:val="14"/>
  </w:num>
  <w:num w:numId="18" w16cid:durableId="84621417">
    <w:abstractNumId w:val="19"/>
  </w:num>
  <w:num w:numId="19" w16cid:durableId="1689485039">
    <w:abstractNumId w:val="13"/>
  </w:num>
  <w:num w:numId="20" w16cid:durableId="1917131568">
    <w:abstractNumId w:val="17"/>
  </w:num>
  <w:num w:numId="21" w16cid:durableId="617372950">
    <w:abstractNumId w:val="15"/>
  </w:num>
  <w:num w:numId="22" w16cid:durableId="2025933864">
    <w:abstractNumId w:val="11"/>
  </w:num>
  <w:num w:numId="23" w16cid:durableId="8860714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142A3"/>
    <w:rsid w:val="000974F5"/>
    <w:rsid w:val="000A4893"/>
    <w:rsid w:val="000D4094"/>
    <w:rsid w:val="001470E4"/>
    <w:rsid w:val="00153EEE"/>
    <w:rsid w:val="001C548A"/>
    <w:rsid w:val="002047D0"/>
    <w:rsid w:val="00222F29"/>
    <w:rsid w:val="002A46E2"/>
    <w:rsid w:val="002D28BD"/>
    <w:rsid w:val="002D3BB5"/>
    <w:rsid w:val="002E1849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B03E9"/>
    <w:rsid w:val="006C3D0E"/>
    <w:rsid w:val="006F20DB"/>
    <w:rsid w:val="00735DA3"/>
    <w:rsid w:val="00737673"/>
    <w:rsid w:val="00787799"/>
    <w:rsid w:val="007A06F7"/>
    <w:rsid w:val="007B4030"/>
    <w:rsid w:val="007D5206"/>
    <w:rsid w:val="00816D7F"/>
    <w:rsid w:val="008C0694"/>
    <w:rsid w:val="008D1CFA"/>
    <w:rsid w:val="00907396"/>
    <w:rsid w:val="0092495C"/>
    <w:rsid w:val="009A17EA"/>
    <w:rsid w:val="009E48BB"/>
    <w:rsid w:val="00A231A8"/>
    <w:rsid w:val="00A52BEC"/>
    <w:rsid w:val="00AD47C5"/>
    <w:rsid w:val="00AD7B0A"/>
    <w:rsid w:val="00B10DC4"/>
    <w:rsid w:val="00B20205"/>
    <w:rsid w:val="00B21D6F"/>
    <w:rsid w:val="00B33D5D"/>
    <w:rsid w:val="00B73824"/>
    <w:rsid w:val="00BC2A15"/>
    <w:rsid w:val="00C11DFF"/>
    <w:rsid w:val="00CA398E"/>
    <w:rsid w:val="00CB5A3D"/>
    <w:rsid w:val="00D0178E"/>
    <w:rsid w:val="00D34B9C"/>
    <w:rsid w:val="00D565CD"/>
    <w:rsid w:val="00DA7063"/>
    <w:rsid w:val="00DB27BA"/>
    <w:rsid w:val="00E1209B"/>
    <w:rsid w:val="00E623A1"/>
    <w:rsid w:val="00E62CB3"/>
    <w:rsid w:val="00F01670"/>
    <w:rsid w:val="00F12C0E"/>
    <w:rsid w:val="00F61016"/>
    <w:rsid w:val="00FB340A"/>
    <w:rsid w:val="1C928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834EF0"/>
  <w15:docId w15:val="{7D181EC6-43E8-41DB-A39B-32D1DA1C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bestektekst3">
    <w:name w:val="P68B1DB1-bestektekst3"/>
    <w:basedOn w:val="bestektekst"/>
    <w:rPr>
      <w:rFonts w:asciiTheme="minorHAnsi" w:hAnsiTheme="minorHAnsi" w:cs="Tahoma"/>
      <w:sz w:val="22"/>
    </w:rPr>
  </w:style>
  <w:style w:type="paragraph" w:styleId="P68B1DB1-Geenafstand4">
    <w:name w:val="P68B1DB1-Geenafstand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E1692-EB4B-4E69-BFE7-BA26E3DA3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878D8-EFD3-495D-9A76-55680234C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02648B-8106-42E5-B601-31B7EFF91390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14</cp:revision>
  <cp:lastPrinted>2016-03-07T09:51:00Z</cp:lastPrinted>
  <dcterms:created xsi:type="dcterms:W3CDTF">2016-09-28T14:31:00Z</dcterms:created>
  <dcterms:modified xsi:type="dcterms:W3CDTF">2022-12-02T10:43:00Z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