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9E095" w14:textId="77777777">
      <w:pPr>
        <w:pStyle w:val="P68B1DB1-Geenafstand1"/>
        <w:jc w:val="center"/>
        <w:rPr>
          <w:rFonts w:ascii="Arial" w:hAnsi="Arial" w:cstheme="majorBidi" w:eastAsiaTheme="majorEastAsia"/>
          <w:b/>
          <w:color w:val="43B02A"/>
          <w:sz w:val="28"/>
        </w:rPr>
      </w:pPr>
      <w:r>
        <w:t xml:space="preserve">Cloisons à lamelles DucoWall Classic W 20Z</w:t>
      </w:r>
    </w:p>
    <w:p w14:paraId="7B199D53" w14:textId="77777777">
      <w:pPr>
        <w:pStyle w:val="Geenafstand"/>
        <w:jc w:val="center"/>
      </w:pPr>
    </w:p>
    <w:p w14:paraId="20B57A42" w14:textId="6EB5A7E8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Fabrication : DUCO Ventilation &amp; Sun Control</w:t>
      </w:r>
    </w:p>
    <w:p w14:paraId="6D1FE840" w14:textId="39C6D680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DucoWall Classic W 20Z est un bardage à lames filantes qui peut être fixé à une construction porteuse. Le système « glisser-cliquer » permet un montage rapide et simple. La lame en « Z » procure un design épuré.</w:t>
      </w:r>
    </w:p>
    <w:p w14:paraId="7C1DDAE1" w14:textId="77777777">
      <w:pPr>
        <w:pStyle w:val="Geenafstand"/>
      </w:pPr>
    </w:p>
    <w:p w14:paraId="2062DEDA" w14:textId="77777777">
      <w:pPr>
        <w:pStyle w:val="Kop2"/>
      </w:pPr>
      <w:r>
        <w:t xml:space="preserve">Caractéristiques :</w:t>
      </w:r>
    </w:p>
    <w:p w14:paraId="0C0C2771" w14:textId="77777777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Lamelles :</w:t>
      </w:r>
      <w:r>
        <w:rPr>
          <w:b/>
        </w:rPr>
        <w:t xml:space="preserve"> </w:t>
      </w:r>
    </w:p>
    <w:p w14:paraId="4951D026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Extrusions d'aluminium en forme de Z clipsées sur des porte-lames</w:t>
      </w:r>
    </w:p>
    <w:p w14:paraId="62AB2130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Hauteur de lame : 40 mm</w:t>
      </w:r>
    </w:p>
    <w:p w14:paraId="5A25110B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Pas de lame : 35 mm</w:t>
      </w:r>
    </w:p>
    <w:p w14:paraId="5B0BAE55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Profondeur de la lame : 23 mm</w:t>
      </w:r>
    </w:p>
    <w:p w14:paraId="6A2BDCD3" w14:textId="13C67D18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Épaisseur du profil : minimum 1,5 mm</w:t>
      </w:r>
    </w:p>
    <w:p w14:paraId="2FC384B6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Surface visuelle libre : 63 %</w:t>
      </w:r>
    </w:p>
    <w:p w14:paraId="7AC70FD5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Surface physique libre : 47 %</w:t>
      </w:r>
    </w:p>
    <w:p w14:paraId="2F5AB17C" w14:textId="77777777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p w14:paraId="41B756CA" w14:textId="4557A9AE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Profils porteur :</w:t>
      </w:r>
    </w:p>
    <w:p w14:paraId="31895954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Extrusions en aluminium prévue d'une encoche pour la fixation des supports de lamelles</w:t>
      </w:r>
    </w:p>
    <w:p w14:paraId="7D34AC1A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Les profils de support légers 30/12 et 50/12 : fixation directement sur les montants (sans entraxe montant) </w:t>
      </w:r>
    </w:p>
    <w:p w14:paraId="68BB5150" w14:textId="376162A2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Les profils de support lourds 21/50 Multi, 50/50 et 50/125 : approprié pour entraxe montant, fixés sur les montants au moyen de profilés en L inclus</w:t>
      </w:r>
    </w:p>
    <w:p w14:paraId="7DF425AB" w14:textId="77777777">
      <w:pPr>
        <w:pStyle w:val="Geenafstand"/>
        <w:ind w:left="720"/>
        <w:rPr>
          <w:rFonts w:cs="Calibri"/>
          <w:color w:val="000000"/>
          <w:sz w:val="23"/>
          <w:shd w:val="clear" w:color="auto" w:fill="FFFFFF"/>
        </w:rPr>
      </w:pPr>
    </w:p>
    <w:p w14:paraId="752B4B3E" w14:textId="77777777">
      <w:pPr>
        <w:pStyle w:val="Geenafstand"/>
        <w:numPr>
          <w:ilvl w:val="0"/>
          <w:numId w:val="25"/>
        </w:numPr>
      </w:pPr>
      <w:r>
        <w:rPr>
          <w:rStyle w:val="Kop3Char"/>
        </w:rPr>
        <w:t xml:space="preserve">Porte-lames :</w:t>
      </w:r>
      <w:r>
        <w:t xml:space="preserve"> </w:t>
      </w:r>
      <w:r>
        <w:rPr>
          <w:rFonts w:cs="Calibri"/>
          <w:color w:val="000000"/>
          <w:sz w:val="23"/>
          <w:shd w:val="clear" w:color="auto" w:fill="FFFFFF"/>
        </w:rPr>
        <w:t xml:space="preserve">pièces moulées par injection en polyamide PA 6.6 renforcé de fibre de verre</w:t>
      </w:r>
    </w:p>
    <w:p w14:paraId="74C0996E" w14:textId="77777777">
      <w:pPr>
        <w:pStyle w:val="Geenafstand"/>
      </w:pPr>
    </w:p>
    <w:p w14:paraId="548FD5C5" w14:textId="7F8396C4">
      <w:pPr>
        <w:pStyle w:val="Geenafstand"/>
        <w:numPr>
          <w:ilvl w:val="0"/>
          <w:numId w:val="26"/>
        </w:numPr>
      </w:pPr>
      <w:r>
        <w:rPr>
          <w:rStyle w:val="Kop3Char"/>
        </w:rPr>
        <w:t xml:space="preserve">Profondeur de montage :</w:t>
      </w:r>
    </w:p>
    <w:p w14:paraId="293BF188" w14:textId="763BD4A3">
      <w:pPr>
        <w:pStyle w:val="Geenafstand"/>
        <w:numPr>
          <w:ilvl w:val="0"/>
          <w:numId w:val="27"/>
        </w:numPr>
      </w:pPr>
      <w:r>
        <w:t xml:space="preserve">Profilé de support 50/12 : 35 mm</w:t>
      </w:r>
    </w:p>
    <w:p w14:paraId="7BADBAFB" w14:textId="77777777">
      <w:pPr>
        <w:pStyle w:val="Geenafstand"/>
        <w:numPr>
          <w:ilvl w:val="0"/>
          <w:numId w:val="27"/>
        </w:numPr>
      </w:pPr>
      <w:r>
        <w:t xml:space="preserve">Profilé de support 50/50 ou 21/50 Multi : 73 mm</w:t>
      </w:r>
    </w:p>
    <w:p w14:paraId="52EB2173" w14:textId="77777777">
      <w:pPr>
        <w:pStyle w:val="Geenafstand"/>
        <w:numPr>
          <w:ilvl w:val="0"/>
          <w:numId w:val="27"/>
        </w:numPr>
      </w:pPr>
      <w:r>
        <w:t xml:space="preserve">Profilé de support 50/125 : 148 mm</w:t>
      </w:r>
    </w:p>
    <w:p w14:paraId="216F12C5" w14:textId="77777777">
      <w:pPr>
        <w:pStyle w:val="Geenafstand"/>
        <w:ind w:left="720"/>
      </w:pPr>
    </w:p>
    <w:p w14:paraId="3D2FC8D0" w14:textId="77777777">
      <w:pPr>
        <w:pStyle w:val="Kop2"/>
      </w:pPr>
      <w:r>
        <w:t xml:space="preserve">Traitement de surface :</w:t>
      </w:r>
    </w:p>
    <w:p w14:paraId="6D37A4B5" w14:textId="77777777">
      <w:pPr>
        <w:pStyle w:val="Geenafstand"/>
        <w:numPr>
          <w:ilvl w:val="0"/>
          <w:numId w:val="16"/>
        </w:numPr>
      </w:pPr>
      <w:r>
        <w:t xml:space="preserve">Anodisation : selon Qualanod, épaisseur de la couche 15-20µm, couleur naturelle standard (anodisation incolore)</w:t>
      </w:r>
    </w:p>
    <w:p w14:paraId="0AB6A918" w14:textId="00F22992">
      <w:pPr>
        <w:pStyle w:val="Geenafstand"/>
        <w:numPr>
          <w:ilvl w:val="0"/>
          <w:numId w:val="16"/>
        </w:numPr>
      </w:pPr>
      <w:r>
        <w:t xml:space="preserve">Revêtement en poudre : selon Qualicoat Seaside type A, épaisseur de couche moyenne minimale 60 µm, couleurs RAL standard 70 % de brillance</w:t>
      </w:r>
    </w:p>
    <w:p w14:paraId="1C81C295" w14:textId="70595FBB">
      <w:pPr>
        <w:pStyle w:val="Geenafstand"/>
        <w:ind w:left="360" w:right="-1"/>
      </w:pPr>
      <w:r>
        <w:t xml:space="preserve">Sur demande : autres épaisseurs de couche de finition, couleurs d'anodisation et degrés de brillance, peintures texturées et références spécifiques de poudre de peinture.</w:t>
      </w:r>
    </w:p>
    <w:p w14:paraId="39127ED5" w14:textId="77777777">
      <w:pPr>
        <w:pStyle w:val="Geenafstand"/>
      </w:pPr>
    </w:p>
    <w:p w14:paraId="15988DC5" w14:textId="77777777">
      <w:pPr>
        <w:pStyle w:val="Kop2"/>
      </w:pPr>
      <w:r>
        <w:t xml:space="preserve">Caractéristiques fonctionnelles :</w:t>
      </w:r>
    </w:p>
    <w:p w14:paraId="1883709F" w14:textId="7AFF0B7A">
      <w:pPr>
        <w:pStyle w:val="Kop3"/>
        <w:numPr>
          <w:ilvl w:val="0"/>
          <w:numId w:val="17"/>
        </w:numPr>
      </w:pPr>
      <w:r>
        <w:t xml:space="preserve">Débit version standard :</w:t>
      </w:r>
    </w:p>
    <w:p w14:paraId="05844421" w14:textId="250E0C62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Facteur K - entrée d'air : 22,68</w:t>
      </w:r>
    </w:p>
    <w:p w14:paraId="3E365A97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Facteur K - extraction : 30,52</w:t>
      </w:r>
    </w:p>
    <w:p w14:paraId="463E19F6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0,21</w:t>
      </w:r>
    </w:p>
    <w:p w14:paraId="5776DAAB" w14:textId="7E9422E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0,181</w:t>
      </w:r>
    </w:p>
    <w:p w14:paraId="21B8DAA3" w14:textId="77777777">
      <w:pPr>
        <w:pStyle w:val="Geenafstand"/>
        <w:rPr>
          <w:rFonts w:cs="Tahoma"/>
        </w:rPr>
      </w:pPr>
    </w:p>
    <w:p w14:paraId="6C3ABF19" w14:textId="78B2F011">
      <w:pPr>
        <w:pStyle w:val="Kop3"/>
        <w:numPr>
          <w:ilvl w:val="0"/>
          <w:numId w:val="17"/>
        </w:numPr>
      </w:pPr>
      <w:r>
        <w:t xml:space="preserve">Débit version "+ options" :</w:t>
      </w:r>
    </w:p>
    <w:p w14:paraId="24C21FE3" w14:textId="46C651B2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Facteur K - entrée d'air : 24,27</w:t>
      </w:r>
    </w:p>
    <w:p w14:paraId="464E2068" w14:textId="365DDCA2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Facteur K - extraction : 33,03</w:t>
      </w:r>
    </w:p>
    <w:p w14:paraId="3E3E008F" w14:textId="18793FE0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0,203</w:t>
      </w:r>
    </w:p>
    <w:p w14:paraId="6BA8526D" w14:textId="736B0D3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0,174</w:t>
      </w:r>
    </w:p>
    <w:p w14:paraId="16282311" w14:textId="77777777">
      <w:pPr>
        <w:pStyle w:val="Geenafstand"/>
        <w:rPr>
          <w:rFonts w:cs="Tahoma"/>
        </w:rPr>
      </w:pPr>
    </w:p>
    <w:p w14:paraId="3E7ED863" w14:textId="3BCA23E9">
      <w:pPr>
        <w:pStyle w:val="Kop3"/>
        <w:numPr>
          <w:ilvl w:val="0"/>
          <w:numId w:val="17"/>
        </w:numPr>
      </w:pPr>
      <w:r>
        <w:t xml:space="preserve">Etanchéité à l'eau version standard :</w:t>
      </w:r>
    </w:p>
    <w:p w14:paraId="234017C5" w14:textId="4B085FDD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0,0m/s : classe C</w:t>
      </w:r>
    </w:p>
    <w:p w14:paraId="6CDCB72E" w14:textId="43A4EE0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0.5m/s : classe C</w:t>
      </w:r>
    </w:p>
    <w:p w14:paraId="6A6C5F03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1,0m/s : classe D</w:t>
      </w:r>
    </w:p>
    <w:p w14:paraId="5A85E74E" w14:textId="74A90BAC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1,5m/s : classe D</w:t>
      </w:r>
    </w:p>
    <w:p w14:paraId="5E0786C8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2,0m/s : classe D </w:t>
      </w:r>
    </w:p>
    <w:p w14:paraId="61CA92A0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29FB584F" w14:textId="6797FDFA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49A1FEE9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19B2BF67" w14:textId="77777777">
      <w:pPr>
        <w:pStyle w:val="Geenafstand"/>
        <w:rPr>
          <w:rFonts w:cs="Tahoma"/>
        </w:rPr>
      </w:pPr>
    </w:p>
    <w:p w14:paraId="5B255C28" w14:textId="7C962875">
      <w:pPr>
        <w:pStyle w:val="Kop3"/>
        <w:numPr>
          <w:ilvl w:val="0"/>
          <w:numId w:val="17"/>
        </w:numPr>
      </w:pPr>
      <w:r>
        <w:t xml:space="preserve">Etanchéité à l'eau version "+ options" :</w:t>
      </w:r>
    </w:p>
    <w:p w14:paraId="434D4A71" w14:textId="54FEF39E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0,0 m/s : classe B</w:t>
      </w:r>
    </w:p>
    <w:p w14:paraId="072D97B6" w14:textId="588D2543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0,5m/s : classe B</w:t>
      </w:r>
    </w:p>
    <w:p w14:paraId="7B21DF9B" w14:textId="2EDE11B2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1,0 m/s : classe C</w:t>
      </w:r>
    </w:p>
    <w:p w14:paraId="5D8C29E1" w14:textId="6897F16C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1,5m/s : classe D</w:t>
      </w:r>
    </w:p>
    <w:p w14:paraId="652F7E38" w14:textId="2815B625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2,0m/s : classe D</w:t>
      </w:r>
    </w:p>
    <w:p w14:paraId="336E5357" w14:textId="2A7FF0D2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35F65AD0" w14:textId="63F97139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4706B1DB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3367FA83" w14:textId="77777777">
      <w:pPr>
        <w:pStyle w:val="Geenafstand"/>
        <w:rPr>
          <w:rFonts w:cs="Tahoma"/>
        </w:rPr>
      </w:pPr>
    </w:p>
    <w:p w14:paraId="37024D21" w14:textId="77777777">
      <w:pPr>
        <w:pStyle w:val="Kop2"/>
      </w:pPr>
      <w:r>
        <w:t xml:space="preserve">Conforme ou testé selon les normes :</w:t>
      </w:r>
    </w:p>
    <w:p w14:paraId="6E55C726" w14:textId="22F1BF65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rPr>
          <w:rFonts w:ascii="Calibri" w:hAnsi="Calibri" w:cs="Calibri" w:eastAsia="Calibri"/>
          <w:color w:val="000000" w:themeColor="text1"/>
          <w:sz w:val="22"/>
        </w:rPr>
        <w:t xml:space="preserve">Seaside type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(si finition thermolaqué)</w:t>
      </w:r>
    </w:p>
    <w:p w14:paraId="6BC5E6AD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(si finition anodisée)</w:t>
      </w:r>
    </w:p>
    <w:p w14:paraId="222F6E04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et EN AW-6060 T66 : alliage d'aluminium et trempe</w:t>
      </w:r>
    </w:p>
    <w:p w14:paraId="109C49FA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 : étanchéité à l'eau et détermination des coefficients C</w:t>
      </w:r>
      <w:r>
        <w:rPr>
          <w:vertAlign w:val="subscript"/>
        </w:rPr>
        <w:t>e</w:t>
      </w:r>
      <w:r>
        <w:t xml:space="preserve">et C</w:t>
      </w:r>
      <w:r>
        <w:rPr>
          <w:vertAlign w:val="subscript"/>
        </w:rPr>
        <w:t>d</w:t>
      </w:r>
    </w:p>
    <w:p w14:paraId="56CEA9FA" w14:textId="7965958D">
      <w:pPr>
        <w:pStyle w:val="P68B1DB1-bestektekst6"/>
        <w:numPr>
          <w:ilvl w:val="0"/>
          <w:numId w:val="20"/>
        </w:numPr>
        <w:rPr>
          <w:rFonts w:asciiTheme="minorHAnsi" w:hAnsiTheme="minorHAnsi" w:cs="Tahoma"/>
          <w:sz w:val="18"/>
        </w:rPr>
      </w:pPr>
      <w:r>
        <w:t xml:space="preserve">EN 1990, EN 1991, EN 1999 : calculs de résistance</w:t>
      </w:r>
    </w:p>
    <w:p w14:paraId="515BB176" w14:textId="77777777">
      <w:pPr>
        <w:pStyle w:val="Kop2"/>
        <w:rPr>
          <w:highlight w:val="yellow"/>
        </w:rPr>
      </w:pPr>
    </w:p>
    <w:p w14:paraId="45B3ED4F" w14:textId="77777777">
      <w:pPr>
        <w:pStyle w:val="Kop2"/>
      </w:pPr>
      <w:r>
        <w:t xml:space="preserve">Anti-effraction en option</w:t>
      </w:r>
    </w:p>
    <w:p w14:paraId="22A3C9B1" w14:textId="77777777">
      <w:pPr>
        <w:pStyle w:val="Geenafstand"/>
      </w:pPr>
      <w:r>
        <w:t xml:space="preserve">La cloison à lamelles peut éventuellement être munie d'un treillis métallique pour une résistance à l'effraction RC2.</w:t>
      </w:r>
    </w:p>
    <w:p w14:paraId="007D448D" w14:textId="77777777">
      <w:pPr>
        <w:pStyle w:val="Geenafstand"/>
      </w:pPr>
      <w:r>
        <w:t xml:space="preserve">Classe 2 (EN1627:2011 &amp; NEN 5096:2012+A1:2015)</w:t>
      </w:r>
    </w:p>
    <w:p w14:paraId="60BB8001" w14:textId="77777777">
      <w:pPr>
        <w:pStyle w:val="bestektekst"/>
        <w:rPr>
          <w:rFonts w:asciiTheme="minorHAnsi" w:hAnsiTheme="minorHAnsi" w:cs="Tahoma"/>
          <w:sz w:val="18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9CAC7" w14:textId="77777777">
      <w:r>
        <w:separator/>
      </w:r>
    </w:p>
  </w:endnote>
  <w:endnote w:type="continuationSeparator" w:id="0">
    <w:p w14:paraId="6637437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479B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7C51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FFBF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4D357" w14:textId="77777777">
      <w:r>
        <w:separator/>
      </w:r>
    </w:p>
  </w:footnote>
  <w:footnote w:type="continuationSeparator" w:id="0">
    <w:p w14:paraId="08B8FBD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1890" w14:textId="77777777">
    <w:pPr>
      <w:pStyle w:val="Koptekst"/>
    </w:pPr>
    <w:r>
      <w:pict w14:anchorId="4F4F33C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7744" w14:textId="77777777">
    <w:pPr>
      <w:pStyle w:val="Koptekst"/>
    </w:pPr>
    <w:r>
      <w:pict w14:anchorId="6F0542B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7859E" w14:textId="77777777">
    <w:pPr>
      <w:pStyle w:val="Koptekst"/>
    </w:pPr>
    <w:r>
      <w:pict w14:anchorId="1ADDFCC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0" w15:restartNumberingAfterBreak="0">
    <w:nsid w:val="5C6A209D"/>
    <w:multiLevelType w:val="multilevel"/>
    <w:tmpl w:val="9FDC55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hint="default" w:ascii="Wingdings" w:hAnsi="Wingdings"/>
      </w:rPr>
    </w:lvl>
  </w:abstractNum>
  <w:abstractNum w:abstractNumId="23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41204302">
    <w:abstractNumId w:val="27"/>
  </w:num>
  <w:num w:numId="2" w16cid:durableId="1202594944">
    <w:abstractNumId w:val="23"/>
  </w:num>
  <w:num w:numId="3" w16cid:durableId="1894804446">
    <w:abstractNumId w:val="10"/>
  </w:num>
  <w:num w:numId="4" w16cid:durableId="529034152">
    <w:abstractNumId w:val="6"/>
  </w:num>
  <w:num w:numId="5" w16cid:durableId="1240485732">
    <w:abstractNumId w:val="5"/>
  </w:num>
  <w:num w:numId="6" w16cid:durableId="1092966705">
    <w:abstractNumId w:val="9"/>
  </w:num>
  <w:num w:numId="7" w16cid:durableId="837844591">
    <w:abstractNumId w:val="4"/>
  </w:num>
  <w:num w:numId="8" w16cid:durableId="164589262">
    <w:abstractNumId w:val="3"/>
  </w:num>
  <w:num w:numId="9" w16cid:durableId="875655687">
    <w:abstractNumId w:val="2"/>
  </w:num>
  <w:num w:numId="10" w16cid:durableId="1822961857">
    <w:abstractNumId w:val="1"/>
  </w:num>
  <w:num w:numId="11" w16cid:durableId="238639865">
    <w:abstractNumId w:val="0"/>
  </w:num>
  <w:num w:numId="12" w16cid:durableId="568611747">
    <w:abstractNumId w:val="7"/>
  </w:num>
  <w:num w:numId="13" w16cid:durableId="1381395288">
    <w:abstractNumId w:val="8"/>
  </w:num>
  <w:num w:numId="14" w16cid:durableId="1848472859">
    <w:abstractNumId w:val="26"/>
  </w:num>
  <w:num w:numId="15" w16cid:durableId="1625187981">
    <w:abstractNumId w:val="12"/>
  </w:num>
  <w:num w:numId="16" w16cid:durableId="178281173">
    <w:abstractNumId w:val="25"/>
  </w:num>
  <w:num w:numId="17" w16cid:durableId="1508205236">
    <w:abstractNumId w:val="18"/>
  </w:num>
  <w:num w:numId="18" w16cid:durableId="1336952706">
    <w:abstractNumId w:val="24"/>
  </w:num>
  <w:num w:numId="19" w16cid:durableId="1510674513">
    <w:abstractNumId w:val="13"/>
  </w:num>
  <w:num w:numId="20" w16cid:durableId="32312211">
    <w:abstractNumId w:val="21"/>
  </w:num>
  <w:num w:numId="21" w16cid:durableId="29186995">
    <w:abstractNumId w:val="15"/>
  </w:num>
  <w:num w:numId="22" w16cid:durableId="946040151">
    <w:abstractNumId w:val="11"/>
  </w:num>
  <w:num w:numId="23" w16cid:durableId="1564827949">
    <w:abstractNumId w:val="19"/>
  </w:num>
  <w:num w:numId="24" w16cid:durableId="1092508046">
    <w:abstractNumId w:val="16"/>
  </w:num>
  <w:num w:numId="25" w16cid:durableId="1421830601">
    <w:abstractNumId w:val="22"/>
  </w:num>
  <w:num w:numId="26" w16cid:durableId="684870364">
    <w:abstractNumId w:val="14"/>
  </w:num>
  <w:num w:numId="27" w16cid:durableId="905184747">
    <w:abstractNumId w:val="17"/>
  </w:num>
  <w:num w:numId="28" w16cid:durableId="9105029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6501C"/>
    <w:rsid w:val="00066BA1"/>
    <w:rsid w:val="000974F5"/>
    <w:rsid w:val="000A4893"/>
    <w:rsid w:val="000D4094"/>
    <w:rsid w:val="001470E4"/>
    <w:rsid w:val="00153EEE"/>
    <w:rsid w:val="001C548A"/>
    <w:rsid w:val="002047D0"/>
    <w:rsid w:val="00217093"/>
    <w:rsid w:val="00222F29"/>
    <w:rsid w:val="00232A66"/>
    <w:rsid w:val="00263CB7"/>
    <w:rsid w:val="00283548"/>
    <w:rsid w:val="002A46E2"/>
    <w:rsid w:val="002A570F"/>
    <w:rsid w:val="002A6498"/>
    <w:rsid w:val="002D28BD"/>
    <w:rsid w:val="002F0B81"/>
    <w:rsid w:val="002F4432"/>
    <w:rsid w:val="00315892"/>
    <w:rsid w:val="00393524"/>
    <w:rsid w:val="003C18E5"/>
    <w:rsid w:val="003E502D"/>
    <w:rsid w:val="00402013"/>
    <w:rsid w:val="00451727"/>
    <w:rsid w:val="004772FD"/>
    <w:rsid w:val="00483208"/>
    <w:rsid w:val="00485348"/>
    <w:rsid w:val="004929D2"/>
    <w:rsid w:val="004A6709"/>
    <w:rsid w:val="004B10FD"/>
    <w:rsid w:val="004B579A"/>
    <w:rsid w:val="004E6D31"/>
    <w:rsid w:val="00515344"/>
    <w:rsid w:val="00522424"/>
    <w:rsid w:val="005426CB"/>
    <w:rsid w:val="00584936"/>
    <w:rsid w:val="005A1F6F"/>
    <w:rsid w:val="005F05CA"/>
    <w:rsid w:val="0061302D"/>
    <w:rsid w:val="0067056A"/>
    <w:rsid w:val="00671AA8"/>
    <w:rsid w:val="006B03E9"/>
    <w:rsid w:val="006C3D0E"/>
    <w:rsid w:val="006F3CC4"/>
    <w:rsid w:val="007244D2"/>
    <w:rsid w:val="00737673"/>
    <w:rsid w:val="00787799"/>
    <w:rsid w:val="007A06F7"/>
    <w:rsid w:val="007B4030"/>
    <w:rsid w:val="007D5206"/>
    <w:rsid w:val="00816D7F"/>
    <w:rsid w:val="0082380F"/>
    <w:rsid w:val="008D1CFA"/>
    <w:rsid w:val="008E3C3F"/>
    <w:rsid w:val="0092495C"/>
    <w:rsid w:val="009A17EA"/>
    <w:rsid w:val="009E4048"/>
    <w:rsid w:val="00A231A8"/>
    <w:rsid w:val="00A25191"/>
    <w:rsid w:val="00B10DC4"/>
    <w:rsid w:val="00B20205"/>
    <w:rsid w:val="00B21D6F"/>
    <w:rsid w:val="00B33D5D"/>
    <w:rsid w:val="00B34764"/>
    <w:rsid w:val="00B536F1"/>
    <w:rsid w:val="00B75590"/>
    <w:rsid w:val="00BC2A15"/>
    <w:rsid w:val="00BC7B54"/>
    <w:rsid w:val="00BF0CC0"/>
    <w:rsid w:val="00C11DFF"/>
    <w:rsid w:val="00CB5A3D"/>
    <w:rsid w:val="00CE1CA0"/>
    <w:rsid w:val="00D0178E"/>
    <w:rsid w:val="00D34B9C"/>
    <w:rsid w:val="00D53218"/>
    <w:rsid w:val="00D57250"/>
    <w:rsid w:val="00DA7063"/>
    <w:rsid w:val="00E623A1"/>
    <w:rsid w:val="00EC0AD2"/>
    <w:rsid w:val="00F01670"/>
    <w:rsid w:val="00F02894"/>
    <w:rsid w:val="00F12C0E"/>
    <w:rsid w:val="00F61016"/>
    <w:rsid w:val="00FF54A3"/>
    <w:rsid w:val="021C47D1"/>
    <w:rsid w:val="064BFC46"/>
    <w:rsid w:val="1B8EDC77"/>
    <w:rsid w:val="2AEE49D2"/>
    <w:rsid w:val="3ECFD078"/>
    <w:rsid w:val="3FF99994"/>
    <w:rsid w:val="4B86F3FF"/>
    <w:rsid w:val="508E7905"/>
    <w:rsid w:val="50E9B302"/>
    <w:rsid w:val="6849B2E6"/>
    <w:rsid w:val="7140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1A914A"/>
  <w15:docId w15:val="{CBD95CAE-16F6-4DA7-A4C5-0069361A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aragraph" w:customStyle="1">
    <w:name w:val="paragraph"/>
    <w:basedOn w:val="Standaard"/>
    <w:rsid w:val="00402013"/>
    <w:pPr>
      <w:spacing w:before="100" w:beforeAutospacing="1" w:after="100" w:afterAutospacing="1"/>
    </w:pPr>
    <w:rPr>
      <w:rFonts w:ascii="Times New Roman" w:hAnsi="Times New Roman" w:cs="Times New Roman" w:eastAsia="Times New Roman"/>
    </w:rPr>
  </w:style>
  <w:style w:type="character" w:styleId="normaltextrun" w:customStyle="1">
    <w:name w:val="normaltextrun"/>
    <w:basedOn w:val="Standaardalinea-lettertype"/>
    <w:rsid w:val="00402013"/>
  </w:style>
  <w:style w:type="character" w:styleId="eop" w:customStyle="1">
    <w:name w:val="eop"/>
    <w:basedOn w:val="Standaardalinea-lettertype"/>
    <w:rsid w:val="00402013"/>
  </w:style>
  <w:style w:type="character" w:styleId="scxw247226576" w:customStyle="1">
    <w:name w:val="scxw247226576"/>
    <w:basedOn w:val="Standaardalinea-lettertype"/>
    <w:rsid w:val="00402013"/>
  </w:style>
  <w:style w:type="paragraph" w:styleId="P68B1DB1-Geenafstand1">
    <w:name w:val="P68B1DB1-Geenafstand1"/>
    <w:basedOn w:val="Geenafstand"/>
    <w:rPr>
      <w:rFonts w:ascii="Arial" w:hAnsi="Arial" w:cstheme="majorBidi" w:eastAsiaTheme="majorEastAsia"/>
      <w:b/>
      <w:color w:val="43B02A"/>
      <w:sz w:val="28"/>
    </w:rPr>
  </w:style>
  <w:style w:type="paragraph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  <w:style w:type="paragraph" w:styleId="P68B1DB1-bestektekst6">
    <w:name w:val="P68B1DB1-bestektekst6"/>
    <w:basedOn w:val="bestektekst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E4EE81-C458-4DB2-892C-0A3B4FD5C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EF6BF0-09CD-479B-AA1D-B64C577767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EE3A35-A7E8-40FC-B4FA-B62C70300E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24</cp:revision>
  <cp:lastPrinted>2016-03-07T09:51:00Z</cp:lastPrinted>
  <dcterms:created xsi:type="dcterms:W3CDTF">2016-10-17T06:37:00Z</dcterms:created>
  <dcterms:modified xsi:type="dcterms:W3CDTF">2022-11-08T08:08:59Z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