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3C3C07" w:rsidRDefault="003C3C0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824F14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0D2CDF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3C3C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3C3C07" w:rsidRDefault="00F02894" w:rsidP="00F02894">
      <w:pPr>
        <w:pStyle w:val="Geenafstand"/>
        <w:jc w:val="center"/>
        <w:rPr>
          <w:lang w:val="fr-BE" w:eastAsia="nl-NL"/>
        </w:rPr>
      </w:pPr>
    </w:p>
    <w:p w:rsidR="003C3C07" w:rsidRPr="00B7095C" w:rsidRDefault="003C3C07" w:rsidP="003C3C0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A70208" w:rsidRDefault="003C3C07" w:rsidP="003C3C0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</w:p>
    <w:p w:rsidR="003C3C07" w:rsidRPr="003C3C07" w:rsidRDefault="003C3C07" w:rsidP="003C3C07">
      <w:pPr>
        <w:pStyle w:val="Geenafstand"/>
        <w:rPr>
          <w:lang w:val="fr-BE" w:eastAsia="nl-NL"/>
        </w:rPr>
      </w:pPr>
    </w:p>
    <w:p w:rsidR="00E86971" w:rsidRPr="0088221D" w:rsidRDefault="00E86971" w:rsidP="00E86971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E86971" w:rsidRPr="00DC4D3D" w:rsidRDefault="00E86971" w:rsidP="00E8697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E86971" w:rsidP="00E869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824F1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E8697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parallélogramme</w:t>
      </w:r>
    </w:p>
    <w:p w:rsidR="00E86971" w:rsidRPr="002E47E5" w:rsidRDefault="00E86971" w:rsidP="00E869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E86971" w:rsidRDefault="00E86971" w:rsidP="00E869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0D2CDF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E86971" w:rsidRDefault="00E8697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24F14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254988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0D2CDF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02EB7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E8697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86971" w:rsidRPr="00BF201E" w:rsidRDefault="00E86971" w:rsidP="00E8697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E86971" w:rsidRPr="005C1116" w:rsidRDefault="00E86971" w:rsidP="00E869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E86971" w:rsidRPr="005C1116" w:rsidRDefault="00E86971" w:rsidP="00E8697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E86971" w:rsidRPr="005C1116" w:rsidRDefault="00E86971" w:rsidP="00E8697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E86971" w:rsidRPr="00B82C9A" w:rsidRDefault="00E86971" w:rsidP="00E8697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E86971" w:rsidRPr="008E3C3F" w:rsidRDefault="00E86971" w:rsidP="00E8697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E86971" w:rsidRPr="00751DB9" w:rsidRDefault="00E86971" w:rsidP="00E8697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E772DB" w:rsidRPr="00E86971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E86971" w:rsidRPr="003B3007" w:rsidRDefault="00E86971" w:rsidP="00E8697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E86971" w:rsidRDefault="00E86971" w:rsidP="00E86971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E86971" w:rsidRDefault="00E86971" w:rsidP="00E86971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E86971" w:rsidRDefault="00E86971" w:rsidP="00E86971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E86971" w:rsidRPr="005C1116" w:rsidRDefault="00E86971" w:rsidP="00E86971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E86971" w:rsidRPr="005C1116" w:rsidRDefault="00E86971" w:rsidP="00E869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E86971" w:rsidRPr="00B82C9A" w:rsidRDefault="00E86971" w:rsidP="00E86971">
      <w:pPr>
        <w:pStyle w:val="Geenafstand"/>
        <w:ind w:left="720"/>
        <w:rPr>
          <w:lang w:val="fr-BE" w:eastAsia="nl-NL"/>
        </w:rPr>
      </w:pPr>
    </w:p>
    <w:p w:rsidR="00E86971" w:rsidRPr="005C1116" w:rsidRDefault="00E86971" w:rsidP="00E8697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E86971" w:rsidRPr="005C1116" w:rsidRDefault="00E86971" w:rsidP="00E8697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E86971" w:rsidRPr="005C1116" w:rsidRDefault="00E86971" w:rsidP="00E8697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E86971" w:rsidRDefault="00E86971" w:rsidP="00E86971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E86971" w:rsidRPr="00BF201E" w:rsidRDefault="00E86971" w:rsidP="00E86971">
      <w:pPr>
        <w:pStyle w:val="Geenafstand"/>
        <w:rPr>
          <w:b/>
          <w:lang w:val="fr-BE" w:eastAsia="nl-NL"/>
        </w:rPr>
      </w:pPr>
    </w:p>
    <w:p w:rsidR="00E86971" w:rsidRPr="007244D2" w:rsidRDefault="00E86971" w:rsidP="00E86971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E86971" w:rsidRDefault="00E86971" w:rsidP="00E86971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E86971" w:rsidRPr="00DF69E1" w:rsidRDefault="00E86971" w:rsidP="00E8697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E86971" w:rsidRPr="00BF201E" w:rsidRDefault="00E86971" w:rsidP="00E8697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E86971" w:rsidRPr="00B82C9A" w:rsidRDefault="00E86971" w:rsidP="00E8697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E86971" w:rsidRPr="005C1116" w:rsidRDefault="00E86971" w:rsidP="00E8697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E86971" w:rsidRPr="005C1116" w:rsidRDefault="00E86971" w:rsidP="00E8697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E86971" w:rsidRPr="005C1116" w:rsidRDefault="00E86971" w:rsidP="00E8697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E86971" w:rsidRPr="005C1116" w:rsidRDefault="00E86971" w:rsidP="00E8697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E86971" w:rsidRDefault="00E86971" w:rsidP="00BD0EBE">
      <w:pPr>
        <w:pStyle w:val="Geenafstand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lang w:val="fr-BE"/>
        </w:rPr>
        <w:t xml:space="preserve">EN 1990, EN 1991, EN 1999: </w:t>
      </w:r>
      <w:r w:rsidRPr="005C1116">
        <w:rPr>
          <w:rFonts w:asciiTheme="minorHAnsi" w:hAnsiTheme="minorHAnsi"/>
          <w:lang w:val="fr-BE"/>
        </w:rPr>
        <w:t>calculs de la force</w:t>
      </w:r>
    </w:p>
    <w:sectPr w:rsidR="007B4030" w:rsidRPr="00E8697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C1972">
    <w:pPr>
      <w:pStyle w:val="Koptekst"/>
    </w:pPr>
    <w:r w:rsidRPr="002C197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C1972">
    <w:pPr>
      <w:pStyle w:val="Koptekst"/>
    </w:pPr>
    <w:r w:rsidRPr="002C197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C1972">
    <w:pPr>
      <w:pStyle w:val="Koptekst"/>
    </w:pPr>
    <w:r w:rsidRPr="002C197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197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C3C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4F14"/>
    <w:rsid w:val="008D1CFA"/>
    <w:rsid w:val="008E3C3F"/>
    <w:rsid w:val="008F0B1D"/>
    <w:rsid w:val="009016DA"/>
    <w:rsid w:val="0092495C"/>
    <w:rsid w:val="00944244"/>
    <w:rsid w:val="00993C5B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665C2"/>
    <w:rsid w:val="00B75590"/>
    <w:rsid w:val="00BC2A15"/>
    <w:rsid w:val="00BD0EBE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E86971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2016-11-15T12:09:00Z</dcterms:created>
  <dcterms:modified xsi:type="dcterms:W3CDTF">2017-01-06T10:10:00Z</dcterms:modified>
</cp:coreProperties>
</file>