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A16375" w:rsidRDefault="00A16375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</w:pPr>
      <w:r w:rsidRPr="00555873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Système de protection solaire</w:t>
      </w:r>
      <w:r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</w:t>
      </w:r>
      <w:r w:rsidR="00A70208" w:rsidRPr="00A1637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DucoS</w:t>
      </w:r>
      <w:r w:rsidR="009869D5" w:rsidRPr="00A1637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lide LuxFrame 40/40 </w:t>
      </w:r>
      <w:r w:rsidR="005F2768" w:rsidRPr="00A1637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40Z</w:t>
      </w:r>
    </w:p>
    <w:p w:rsidR="00F02894" w:rsidRPr="00A16375" w:rsidRDefault="00F02894" w:rsidP="00F02894">
      <w:pPr>
        <w:pStyle w:val="Geenafstand"/>
        <w:jc w:val="center"/>
        <w:rPr>
          <w:lang w:val="fr-BE" w:eastAsia="nl-NL"/>
        </w:rPr>
      </w:pPr>
    </w:p>
    <w:p w:rsidR="00A16375" w:rsidRPr="00555873" w:rsidRDefault="00A16375" w:rsidP="00A16375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555873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Fabricant: Duco ‘Ventilation &amp; Sun Control’</w:t>
      </w:r>
    </w:p>
    <w:p w:rsidR="00A16375" w:rsidRPr="00555873" w:rsidRDefault="00A16375" w:rsidP="00A16375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555873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Système de protection solaire externe et permanente sur la base de panneaux coulissants.</w:t>
      </w:r>
    </w:p>
    <w:p w:rsidR="00A16375" w:rsidRPr="00555873" w:rsidRDefault="00A16375" w:rsidP="00A16375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555873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Les lamelles sont fixées dans un profil de cadre robuste.</w:t>
      </w:r>
    </w:p>
    <w:p w:rsidR="00A16375" w:rsidRPr="00FB075D" w:rsidRDefault="00A16375" w:rsidP="00A16375">
      <w:pPr>
        <w:pStyle w:val="Geenafstand"/>
        <w:rPr>
          <w:lang w:val="fr-BE" w:eastAsia="nl-NL"/>
        </w:rPr>
      </w:pPr>
    </w:p>
    <w:p w:rsidR="00A16375" w:rsidRPr="00FB075D" w:rsidRDefault="00A16375" w:rsidP="00A16375">
      <w:pPr>
        <w:pStyle w:val="Kop2"/>
        <w:rPr>
          <w:lang w:val="fr-BE"/>
        </w:rPr>
      </w:pPr>
      <w:r w:rsidRPr="00FB075D">
        <w:rPr>
          <w:lang w:val="fr-BE"/>
        </w:rPr>
        <w:t>Caractéristiques:</w:t>
      </w:r>
    </w:p>
    <w:p w:rsidR="00A16375" w:rsidRPr="00FB075D" w:rsidRDefault="00A16375" w:rsidP="00A16375">
      <w:pPr>
        <w:pStyle w:val="Geenafstand"/>
        <w:ind w:left="720"/>
        <w:rPr>
          <w:rStyle w:val="Kop3Char"/>
          <w:lang w:val="fr-BE"/>
        </w:rPr>
      </w:pPr>
      <w:r w:rsidRPr="00FB075D">
        <w:rPr>
          <w:rStyle w:val="Kop3Char"/>
          <w:lang w:val="fr-BE"/>
        </w:rPr>
        <w:t>Lamelles:</w:t>
      </w:r>
    </w:p>
    <w:p w:rsidR="00DC4D3D" w:rsidRPr="00A16375" w:rsidRDefault="00A16375" w:rsidP="00A16375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FB075D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Type</w:t>
      </w:r>
      <w:r w:rsidRPr="00FB075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: Lame</w:t>
      </w:r>
      <w: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</w:t>
      </w:r>
      <w:r w:rsidR="005F2768" w:rsidRPr="00A1637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40Z</w:t>
      </w:r>
    </w:p>
    <w:p w:rsidR="00A16375" w:rsidRPr="00FB075D" w:rsidRDefault="00A16375" w:rsidP="00A16375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Forme</w:t>
      </w:r>
      <w:r w:rsidRPr="00FB075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Forme en Z</w:t>
      </w:r>
    </w:p>
    <w:p w:rsidR="00A16375" w:rsidRPr="002E47E5" w:rsidRDefault="00A16375" w:rsidP="00A16375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C1116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Matière</w:t>
      </w:r>
      <w:r w:rsidRPr="002E47E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extrusions aluminium </w:t>
      </w:r>
      <w:r w:rsidRPr="002E47E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Al Mg Si 0.5</w:t>
      </w:r>
    </w:p>
    <w:p w:rsidR="00DC4D3D" w:rsidRPr="00A16375" w:rsidRDefault="00A16375" w:rsidP="00A16375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Hauteur</w:t>
      </w:r>
      <w:r w:rsidRPr="005C1116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 xml:space="preserve"> de lamelle</w:t>
      </w:r>
      <w:r w:rsidR="00DC4D3D" w:rsidRPr="00A1637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:</w:t>
      </w:r>
      <w:r w:rsidR="00254988" w:rsidRPr="00A1637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</w:t>
      </w:r>
      <w:r w:rsidR="005F2768" w:rsidRPr="00A1637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85</w:t>
      </w:r>
      <w:r w:rsidR="00DC4D3D" w:rsidRPr="00A1637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mm</w:t>
      </w:r>
    </w:p>
    <w:p w:rsidR="0025300C" w:rsidRPr="00A16375" w:rsidRDefault="00A16375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05472A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Pas de lamelle</w:t>
      </w:r>
      <w:r w:rsidR="00254988" w:rsidRPr="00A1637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r w:rsidR="005F2768" w:rsidRPr="00A1637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110</w:t>
      </w:r>
      <w:r w:rsidR="00FE73B9" w:rsidRPr="00A1637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mm</w:t>
      </w:r>
    </w:p>
    <w:p w:rsidR="00FE73B9" w:rsidRPr="00A16375" w:rsidRDefault="00A16375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FB075D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Angle d’inclinaison</w:t>
      </w:r>
      <w:r w:rsidR="00FE73B9" w:rsidRPr="00A16375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:</w:t>
      </w:r>
      <w:r w:rsidR="00FE73B9" w:rsidRPr="00A1637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</w:t>
      </w:r>
      <w:r w:rsidR="005F2768" w:rsidRPr="00A1637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48</w:t>
      </w:r>
      <w:r w:rsidR="00FE73B9" w:rsidRPr="00A1637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°</w:t>
      </w:r>
    </w:p>
    <w:p w:rsidR="00A16375" w:rsidRPr="005C1116" w:rsidRDefault="00A16375" w:rsidP="00A16375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C1116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Traitement de surface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</w:p>
    <w:p w:rsidR="00196569" w:rsidRPr="005C1116" w:rsidRDefault="00196569" w:rsidP="00196569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Standard anodisé naturel (15-20 </w:t>
      </w:r>
      <w:r w:rsidRPr="005C1116">
        <w:rPr>
          <w:rStyle w:val="Kop3Char"/>
          <w:rFonts w:ascii="Calibri" w:eastAsia="Calibri" w:hAnsi="Calibri" w:cs="Calibri"/>
          <w:bCs w:val="0"/>
          <w:color w:val="auto"/>
          <w:lang w:val="fr-BE" w:eastAsia="nl-NL"/>
        </w:rPr>
        <w:t>µ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m) (VB6/A20/VOM1)</w:t>
      </w:r>
    </w:p>
    <w:p w:rsidR="00196569" w:rsidRPr="003955F1" w:rsidRDefault="00196569" w:rsidP="00196569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Thermolaquée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polyester en poudre (60-80 </w:t>
      </w:r>
      <w:r w:rsidRPr="005C1116">
        <w:rPr>
          <w:rStyle w:val="Kop3Char"/>
          <w:rFonts w:ascii="Calibri" w:eastAsia="Calibri" w:hAnsi="Calibri" w:cs="Calibri"/>
          <w:bCs w:val="0"/>
          <w:color w:val="auto"/>
          <w:lang w:val="fr-BE" w:eastAsia="nl-NL"/>
        </w:rPr>
        <w:t>µ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m)</w:t>
      </w:r>
    </w:p>
    <w:p w:rsidR="00A16375" w:rsidRPr="00FB075D" w:rsidRDefault="00A16375" w:rsidP="00A16375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</w:p>
    <w:p w:rsidR="00A16375" w:rsidRPr="008E3C3F" w:rsidRDefault="00A16375" w:rsidP="00A16375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555873">
        <w:rPr>
          <w:rStyle w:val="Kop3Char"/>
        </w:rPr>
        <w:t>Profils de cadre</w:t>
      </w:r>
      <w:r w:rsidRPr="008E3C3F">
        <w:rPr>
          <w:rStyle w:val="Kop3Char"/>
        </w:rPr>
        <w:t>:</w:t>
      </w:r>
      <w:r>
        <w:rPr>
          <w:lang w:eastAsia="nl-NL"/>
        </w:rPr>
        <w:t xml:space="preserve"> </w:t>
      </w:r>
    </w:p>
    <w:p w:rsidR="00A16375" w:rsidRPr="00FB075D" w:rsidRDefault="00A16375" w:rsidP="00A16375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 xml:space="preserve">Profil de cadre </w:t>
      </w:r>
      <w:r w:rsidRPr="00FB075D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40/40:</w:t>
      </w:r>
      <w:r w:rsidRPr="00FB075D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40 x 40 mm</w:t>
      </w:r>
    </w:p>
    <w:p w:rsidR="003B3007" w:rsidRDefault="003B3007" w:rsidP="009E22E4">
      <w:pPr>
        <w:pStyle w:val="Geenafstand"/>
        <w:rPr>
          <w:lang w:eastAsia="nl-NL"/>
        </w:rPr>
      </w:pPr>
    </w:p>
    <w:p w:rsidR="00A16375" w:rsidRPr="005C1116" w:rsidRDefault="00A16375" w:rsidP="00A16375">
      <w:pPr>
        <w:pStyle w:val="Kop2"/>
      </w:pPr>
      <w:r w:rsidRPr="005C1116">
        <w:t>Traitement de surface:</w:t>
      </w:r>
    </w:p>
    <w:p w:rsidR="00A16375" w:rsidRPr="005C1116" w:rsidRDefault="00A16375" w:rsidP="00A16375">
      <w:pPr>
        <w:pStyle w:val="Geenafstand"/>
        <w:numPr>
          <w:ilvl w:val="0"/>
          <w:numId w:val="16"/>
        </w:numPr>
        <w:rPr>
          <w:lang w:val="fr-BE" w:eastAsia="nl-NL"/>
        </w:rPr>
      </w:pPr>
      <w:r w:rsidRPr="005C1116">
        <w:rPr>
          <w:lang w:val="fr-BE"/>
        </w:rPr>
        <w:t>Anodisation: selon Qualanod, épaisseur de couche 15-20µm, standard couleur nature (anodisation incolore)</w:t>
      </w:r>
    </w:p>
    <w:p w:rsidR="00A16375" w:rsidRPr="005C1116" w:rsidRDefault="00A16375" w:rsidP="00A16375">
      <w:pPr>
        <w:pStyle w:val="Geenafstand"/>
        <w:numPr>
          <w:ilvl w:val="0"/>
          <w:numId w:val="16"/>
        </w:numPr>
        <w:rPr>
          <w:lang w:val="fr-BE" w:eastAsia="nl-NL"/>
        </w:rPr>
      </w:pPr>
      <w:r w:rsidRPr="005C1116">
        <w:rPr>
          <w:lang w:val="fr-BE"/>
        </w:rPr>
        <w:t>Thermolaquée en poudre: selon Qualicoat, minimum moyenne épaisseur de couche 60µm, standard couleurs RAL  70% brillance</w:t>
      </w:r>
    </w:p>
    <w:p w:rsidR="00A16375" w:rsidRDefault="00A16375" w:rsidP="00A16375">
      <w:pPr>
        <w:pStyle w:val="Geenafstand"/>
        <w:rPr>
          <w:lang w:val="fr-BE"/>
        </w:rPr>
      </w:pPr>
      <w:r w:rsidRPr="005C1116">
        <w:rPr>
          <w:lang w:val="fr-BE"/>
        </w:rPr>
        <w:t>Sur demande: autres épaisseurs de couche, couleurs d’anodisation et des degrés brillants, aussi vernissage  "seaside", revêtement texturés</w:t>
      </w:r>
      <w:r>
        <w:rPr>
          <w:lang w:val="fr-BE"/>
        </w:rPr>
        <w:t xml:space="preserve"> </w:t>
      </w:r>
      <w:r w:rsidRPr="005C1116">
        <w:rPr>
          <w:lang w:val="fr-BE"/>
        </w:rPr>
        <w:t>et des références de thermolaquée en poudre spécifiques.</w:t>
      </w:r>
    </w:p>
    <w:p w:rsidR="009E22E4" w:rsidRPr="00A16375" w:rsidRDefault="009E22E4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fr-BE" w:eastAsia="en-US"/>
        </w:rPr>
      </w:pPr>
    </w:p>
    <w:p w:rsidR="00A16375" w:rsidRPr="00555873" w:rsidRDefault="00A16375" w:rsidP="00A16375">
      <w:pPr>
        <w:pStyle w:val="Kop2"/>
      </w:pPr>
      <w:r w:rsidRPr="00555873">
        <w:t>Système coulissant:</w:t>
      </w:r>
    </w:p>
    <w:p w:rsidR="00A16375" w:rsidRPr="00555873" w:rsidRDefault="00A16375" w:rsidP="00A16375">
      <w:pPr>
        <w:pStyle w:val="Kop3"/>
        <w:numPr>
          <w:ilvl w:val="0"/>
          <w:numId w:val="44"/>
        </w:numPr>
      </w:pPr>
      <w:r w:rsidRPr="00555873">
        <w:t>Système coulissant simple:</w:t>
      </w:r>
    </w:p>
    <w:p w:rsidR="00A16375" w:rsidRPr="00555873" w:rsidRDefault="00A16375" w:rsidP="00A16375">
      <w:pPr>
        <w:pStyle w:val="Geenafstand"/>
        <w:ind w:left="720"/>
        <w:rPr>
          <w:lang w:eastAsia="nl-NL"/>
        </w:rPr>
      </w:pPr>
      <w:r w:rsidRPr="00555873">
        <w:rPr>
          <w:lang w:eastAsia="nl-NL"/>
        </w:rPr>
        <w:t>Vantaux à manoeuvre individuelle.</w:t>
      </w:r>
    </w:p>
    <w:p w:rsidR="00A16375" w:rsidRPr="00555873" w:rsidRDefault="00A16375" w:rsidP="00A16375">
      <w:pPr>
        <w:pStyle w:val="Geenafstand"/>
        <w:ind w:left="720"/>
        <w:rPr>
          <w:lang w:eastAsia="nl-NL"/>
        </w:rPr>
      </w:pPr>
    </w:p>
    <w:p w:rsidR="00A16375" w:rsidRPr="00555873" w:rsidRDefault="00A16375" w:rsidP="00A16375">
      <w:pPr>
        <w:pStyle w:val="Kop3"/>
        <w:numPr>
          <w:ilvl w:val="0"/>
          <w:numId w:val="44"/>
        </w:numPr>
        <w:rPr>
          <w:lang w:val="fr-BE"/>
        </w:rPr>
      </w:pPr>
      <w:r w:rsidRPr="00555873">
        <w:rPr>
          <w:lang w:val="fr-BE"/>
        </w:rPr>
        <w:t>Système coulissant symétrique:</w:t>
      </w:r>
    </w:p>
    <w:p w:rsidR="00A16375" w:rsidRPr="00555873" w:rsidRDefault="00A16375" w:rsidP="00A16375">
      <w:pPr>
        <w:pStyle w:val="Geenafstand"/>
        <w:ind w:left="720"/>
        <w:rPr>
          <w:lang w:val="fr-BE" w:eastAsia="nl-NL"/>
        </w:rPr>
      </w:pPr>
      <w:r w:rsidRPr="00555873">
        <w:rPr>
          <w:lang w:val="fr-BE" w:eastAsia="nl-NL"/>
        </w:rPr>
        <w:t>Deux vantaux solidaires entre eux qui glissent latéralement en position ouverte ou fermée en parfaite symétrie.</w:t>
      </w:r>
    </w:p>
    <w:p w:rsidR="00A16375" w:rsidRPr="00555873" w:rsidRDefault="00A16375" w:rsidP="00A16375">
      <w:pPr>
        <w:rPr>
          <w:lang w:val="fr-BE" w:eastAsia="en-US"/>
        </w:rPr>
      </w:pPr>
    </w:p>
    <w:p w:rsidR="00A16375" w:rsidRPr="00555873" w:rsidRDefault="00A16375" w:rsidP="00A16375">
      <w:pPr>
        <w:pStyle w:val="Kop3"/>
        <w:numPr>
          <w:ilvl w:val="0"/>
          <w:numId w:val="44"/>
        </w:numPr>
      </w:pPr>
      <w:r w:rsidRPr="00555873">
        <w:t>Système coulissant télescopique:</w:t>
      </w:r>
    </w:p>
    <w:p w:rsidR="00A16375" w:rsidRPr="00555873" w:rsidRDefault="00A16375" w:rsidP="00A16375">
      <w:pPr>
        <w:ind w:left="708"/>
        <w:rPr>
          <w:rFonts w:ascii="Calibri" w:eastAsia="Calibri" w:hAnsi="Calibri" w:cs="Times New Roman"/>
          <w:sz w:val="22"/>
          <w:szCs w:val="22"/>
          <w:lang w:val="fr-FR"/>
        </w:rPr>
      </w:pPr>
      <w:r w:rsidRPr="00555873">
        <w:rPr>
          <w:rFonts w:ascii="Calibri" w:eastAsia="Calibri" w:hAnsi="Calibri" w:cs="Times New Roman"/>
          <w:sz w:val="22"/>
          <w:szCs w:val="22"/>
          <w:lang w:val="fr-FR"/>
        </w:rPr>
        <w:t>Deux ou trois vantaux solidaires entre eux qui coulissent successivement.</w:t>
      </w:r>
    </w:p>
    <w:p w:rsidR="00A16375" w:rsidRPr="00555873" w:rsidRDefault="00A16375" w:rsidP="00A16375">
      <w:pPr>
        <w:ind w:left="708"/>
        <w:rPr>
          <w:rFonts w:ascii="Calibri" w:eastAsia="Calibri" w:hAnsi="Calibri" w:cs="Times New Roman"/>
          <w:sz w:val="22"/>
          <w:szCs w:val="22"/>
          <w:lang w:val="fr-FR"/>
        </w:rPr>
      </w:pPr>
    </w:p>
    <w:p w:rsidR="00A16375" w:rsidRPr="00555873" w:rsidRDefault="00A16375" w:rsidP="00A16375">
      <w:pPr>
        <w:pStyle w:val="Kop3"/>
        <w:numPr>
          <w:ilvl w:val="0"/>
          <w:numId w:val="44"/>
        </w:numPr>
      </w:pPr>
      <w:r w:rsidRPr="00555873">
        <w:t>Système coulissant BiFold:</w:t>
      </w:r>
    </w:p>
    <w:p w:rsidR="00A16375" w:rsidRPr="00555873" w:rsidRDefault="00A16375" w:rsidP="00A16375">
      <w:pPr>
        <w:ind w:left="708"/>
        <w:rPr>
          <w:rFonts w:ascii="Calibri" w:eastAsia="Calibri" w:hAnsi="Calibri" w:cs="Times New Roman"/>
          <w:sz w:val="22"/>
          <w:szCs w:val="22"/>
          <w:lang w:val="fr-BE"/>
        </w:rPr>
      </w:pPr>
      <w:r w:rsidRPr="00555873">
        <w:rPr>
          <w:rFonts w:ascii="Calibri" w:eastAsia="Calibri" w:hAnsi="Calibri" w:cs="Times New Roman"/>
          <w:sz w:val="22"/>
          <w:szCs w:val="22"/>
          <w:lang w:val="fr-FR"/>
        </w:rPr>
        <w:t xml:space="preserve">Deux vantaux pivotants dans un cadre fixe qui coulisse sur le côté. </w:t>
      </w:r>
      <w:r w:rsidRPr="00555873">
        <w:rPr>
          <w:rFonts w:ascii="Calibri" w:eastAsia="Calibri" w:hAnsi="Calibri" w:cs="Times New Roman"/>
          <w:sz w:val="22"/>
          <w:szCs w:val="22"/>
          <w:lang w:val="fr-BE"/>
        </w:rPr>
        <w:t>Ainsi, le système se différencie par un design différent en position ouverte ou fermée.</w:t>
      </w:r>
    </w:p>
    <w:p w:rsidR="00A16375" w:rsidRPr="00555873" w:rsidRDefault="00A16375" w:rsidP="00A16375">
      <w:pPr>
        <w:rPr>
          <w:lang w:val="fr-BE" w:eastAsia="en-US"/>
        </w:rPr>
      </w:pPr>
    </w:p>
    <w:p w:rsidR="00A16375" w:rsidRPr="00555873" w:rsidRDefault="00A16375" w:rsidP="00A16375">
      <w:pPr>
        <w:pStyle w:val="Kop3"/>
        <w:numPr>
          <w:ilvl w:val="0"/>
          <w:numId w:val="44"/>
        </w:numPr>
      </w:pPr>
      <w:r w:rsidRPr="00555873">
        <w:lastRenderedPageBreak/>
        <w:t>Système coulissant QuadraFold:</w:t>
      </w:r>
    </w:p>
    <w:p w:rsidR="00A16375" w:rsidRPr="00555873" w:rsidRDefault="00A16375" w:rsidP="00A16375">
      <w:pPr>
        <w:pStyle w:val="Lijstalinea"/>
        <w:rPr>
          <w:rFonts w:ascii="Calibri" w:eastAsia="Calibri" w:hAnsi="Calibri" w:cs="Times New Roman"/>
          <w:lang w:val="fr-BE"/>
        </w:rPr>
      </w:pPr>
      <w:r w:rsidRPr="00555873">
        <w:rPr>
          <w:rFonts w:ascii="Calibri" w:eastAsia="Calibri" w:hAnsi="Calibri" w:cs="Times New Roman"/>
          <w:lang w:val="fr-BE"/>
        </w:rPr>
        <w:t>Une protection solaire qui couple 4 vantaux qui pivotent dans un cadre fixe qui coulissent sur le côté, dans le but de s’ouvrir ou se fermer manuellement (principe accordéon).</w:t>
      </w:r>
    </w:p>
    <w:p w:rsidR="00A16375" w:rsidRPr="00555873" w:rsidRDefault="00A16375" w:rsidP="00A16375">
      <w:pPr>
        <w:pStyle w:val="Kop2"/>
      </w:pPr>
      <w:r w:rsidRPr="00555873">
        <w:t>Contrôle:</w:t>
      </w:r>
    </w:p>
    <w:p w:rsidR="00A16375" w:rsidRPr="00555873" w:rsidRDefault="00A16375" w:rsidP="00A16375">
      <w:pPr>
        <w:pStyle w:val="Geenafstand"/>
        <w:numPr>
          <w:ilvl w:val="0"/>
          <w:numId w:val="24"/>
        </w:numPr>
        <w:rPr>
          <w:rStyle w:val="Kop3Char"/>
        </w:rPr>
      </w:pPr>
      <w:r w:rsidRPr="00555873">
        <w:rPr>
          <w:rStyle w:val="Kop3Char"/>
        </w:rPr>
        <w:t>Manuelle</w:t>
      </w:r>
    </w:p>
    <w:p w:rsidR="00A16375" w:rsidRPr="00555873" w:rsidRDefault="00A16375" w:rsidP="00A16375">
      <w:pPr>
        <w:pStyle w:val="Geenafstand"/>
        <w:ind w:left="720"/>
        <w:rPr>
          <w:rStyle w:val="Kop3Char"/>
        </w:rPr>
      </w:pPr>
    </w:p>
    <w:p w:rsidR="00A16375" w:rsidRPr="00A16375" w:rsidRDefault="00A16375" w:rsidP="00A16375">
      <w:pPr>
        <w:pStyle w:val="Geenafstand"/>
        <w:numPr>
          <w:ilvl w:val="0"/>
          <w:numId w:val="24"/>
        </w:numPr>
        <w:rPr>
          <w:rStyle w:val="Kop3Char"/>
          <w:lang w:val="fr-BE"/>
        </w:rPr>
      </w:pPr>
      <w:r w:rsidRPr="00A16375">
        <w:rPr>
          <w:rStyle w:val="Kop3Char"/>
          <w:lang w:val="fr-BE"/>
        </w:rPr>
        <w:t>Électrique (pas possible avec BiFold et QuadraFold):</w:t>
      </w:r>
    </w:p>
    <w:p w:rsidR="00A16375" w:rsidRPr="00196569" w:rsidRDefault="00A16375" w:rsidP="00A16375">
      <w:pPr>
        <w:pStyle w:val="Geenafstand"/>
        <w:ind w:left="720"/>
        <w:rPr>
          <w:rStyle w:val="Kop3Char"/>
          <w:lang w:val="fr-BE"/>
        </w:rPr>
      </w:pPr>
      <w:r w:rsidRPr="00196569">
        <w:rPr>
          <w:rStyle w:val="Kop3Char"/>
          <w:lang w:val="fr-BE"/>
        </w:rPr>
        <w:t>Moteur</w:t>
      </w:r>
    </w:p>
    <w:p w:rsidR="00A16375" w:rsidRPr="00196569" w:rsidRDefault="00B609C9" w:rsidP="00A16375">
      <w:pPr>
        <w:pStyle w:val="Geenafstand"/>
        <w:ind w:left="720"/>
        <w:rPr>
          <w:lang w:val="fr-BE"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  <w:lang w:val="fr-BE"/>
        </w:rPr>
        <w:t>Tension</w:t>
      </w:r>
      <w:r w:rsidR="00A16375" w:rsidRPr="00196569">
        <w:rPr>
          <w:rStyle w:val="Kop3Char"/>
          <w:rFonts w:ascii="Calibri" w:eastAsia="Calibri" w:hAnsi="Calibri" w:cs="Times New Roman"/>
          <w:b/>
          <w:color w:val="auto"/>
          <w:lang w:val="fr-BE"/>
        </w:rPr>
        <w:t>:</w:t>
      </w:r>
      <w:r w:rsidR="00A16375" w:rsidRPr="00196569">
        <w:rPr>
          <w:lang w:val="fr-BE" w:eastAsia="nl-NL"/>
        </w:rPr>
        <w:t xml:space="preserve"> </w:t>
      </w:r>
      <w:r w:rsidR="00A16375" w:rsidRPr="00196569">
        <w:rPr>
          <w:lang w:val="fr-BE" w:eastAsia="nl-NL"/>
        </w:rPr>
        <w:tab/>
        <w:t>230 VAC, 50 Hz</w:t>
      </w:r>
    </w:p>
    <w:p w:rsidR="00A16375" w:rsidRPr="00196569" w:rsidRDefault="00B609C9" w:rsidP="00A16375">
      <w:pPr>
        <w:pStyle w:val="Geenafstand"/>
        <w:ind w:left="720"/>
        <w:rPr>
          <w:lang w:val="fr-BE" w:eastAsia="nl-NL"/>
        </w:rPr>
      </w:pPr>
      <w:r>
        <w:rPr>
          <w:bCs/>
          <w:lang w:val="fr-BE" w:eastAsia="nl-NL"/>
        </w:rPr>
        <w:tab/>
      </w:r>
      <w:r w:rsidR="00A16375" w:rsidRPr="00196569">
        <w:rPr>
          <w:bCs/>
          <w:lang w:val="fr-BE" w:eastAsia="nl-NL"/>
        </w:rPr>
        <w:tab/>
        <w:t>Lmax:</w:t>
      </w:r>
      <w:r w:rsidR="00A16375" w:rsidRPr="00196569">
        <w:rPr>
          <w:lang w:val="fr-BE" w:eastAsia="nl-NL"/>
        </w:rPr>
        <w:t xml:space="preserve"> 2,3 Aac</w:t>
      </w:r>
    </w:p>
    <w:p w:rsidR="00A16375" w:rsidRPr="00196569" w:rsidRDefault="00B609C9" w:rsidP="00A16375">
      <w:pPr>
        <w:pStyle w:val="Geenafstand"/>
        <w:ind w:left="720"/>
        <w:rPr>
          <w:lang w:val="fr-BE" w:eastAsia="nl-NL"/>
        </w:rPr>
      </w:pPr>
      <w:r>
        <w:rPr>
          <w:bCs/>
          <w:lang w:val="fr-BE" w:eastAsia="nl-NL"/>
        </w:rPr>
        <w:tab/>
      </w:r>
      <w:r w:rsidR="00A16375" w:rsidRPr="00196569">
        <w:rPr>
          <w:bCs/>
          <w:lang w:val="fr-BE" w:eastAsia="nl-NL"/>
        </w:rPr>
        <w:tab/>
        <w:t>Pmax:</w:t>
      </w:r>
      <w:r w:rsidR="00A16375" w:rsidRPr="00196569">
        <w:rPr>
          <w:lang w:val="fr-BE" w:eastAsia="nl-NL"/>
        </w:rPr>
        <w:t xml:space="preserve"> 40 W</w:t>
      </w:r>
    </w:p>
    <w:p w:rsidR="00A16375" w:rsidRPr="00555873" w:rsidRDefault="00A16375" w:rsidP="00A16375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Poids maximal:</w:t>
      </w:r>
      <w:r w:rsidRPr="00555873">
        <w:rPr>
          <w:lang w:val="fr-BE" w:eastAsia="nl-NL"/>
        </w:rPr>
        <w:t xml:space="preserve"> 160 kg</w:t>
      </w:r>
    </w:p>
    <w:p w:rsidR="00A16375" w:rsidRPr="00555873" w:rsidRDefault="00A16375" w:rsidP="00A16375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Vitesse maximale:</w:t>
      </w:r>
      <w:r w:rsidRPr="00555873">
        <w:rPr>
          <w:lang w:val="fr-BE" w:eastAsia="nl-NL"/>
        </w:rPr>
        <w:t xml:space="preserve"> 100 mm/s</w:t>
      </w:r>
    </w:p>
    <w:p w:rsidR="00A16375" w:rsidRPr="00555873" w:rsidRDefault="00A16375" w:rsidP="00A16375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Ip degré de protection:</w:t>
      </w:r>
      <w:r w:rsidRPr="00555873">
        <w:rPr>
          <w:lang w:val="fr-BE" w:eastAsia="nl-NL"/>
        </w:rPr>
        <w:t xml:space="preserve"> IP 55</w:t>
      </w:r>
    </w:p>
    <w:p w:rsidR="00A16375" w:rsidRPr="00555873" w:rsidRDefault="00A16375" w:rsidP="00A16375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 xml:space="preserve">T° de fonctionnement: </w:t>
      </w:r>
      <w:r w:rsidRPr="00555873">
        <w:rPr>
          <w:lang w:val="fr-BE" w:eastAsia="nl-NL"/>
        </w:rPr>
        <w:t>-20°C tot +50°C</w:t>
      </w:r>
    </w:p>
    <w:p w:rsidR="00A16375" w:rsidRPr="00555873" w:rsidRDefault="00A16375" w:rsidP="00A16375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Charge maximale du moteur:</w:t>
      </w:r>
      <w:r w:rsidRPr="00555873">
        <w:rPr>
          <w:lang w:val="fr-BE" w:eastAsia="nl-NL"/>
        </w:rPr>
        <w:t xml:space="preserve"> 1,5 Nm</w:t>
      </w:r>
    </w:p>
    <w:p w:rsidR="00A16375" w:rsidRPr="00555873" w:rsidRDefault="00A16375" w:rsidP="00A16375">
      <w:pPr>
        <w:pStyle w:val="Geenafstand"/>
        <w:ind w:left="720"/>
        <w:rPr>
          <w:lang w:val="fr-FR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FR"/>
        </w:rPr>
        <w:t>Sécurité de serrage:</w:t>
      </w:r>
      <w:r w:rsidRPr="00555873">
        <w:rPr>
          <w:lang w:val="fr-FR" w:eastAsia="nl-NL"/>
        </w:rPr>
        <w:t xml:space="preserve"> oui</w:t>
      </w:r>
    </w:p>
    <w:p w:rsidR="00A16375" w:rsidRPr="00555873" w:rsidRDefault="00A16375" w:rsidP="00A16375">
      <w:pPr>
        <w:pStyle w:val="Geenafstand"/>
        <w:ind w:left="720"/>
        <w:rPr>
          <w:lang w:val="fr-FR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FR"/>
        </w:rPr>
        <w:t>Service:</w:t>
      </w:r>
      <w:r w:rsidRPr="00555873">
        <w:rPr>
          <w:lang w:val="fr-FR" w:eastAsia="nl-NL"/>
        </w:rPr>
        <w:t xml:space="preserve"> ne nécessitant aucun entretien (pas de charbons)</w:t>
      </w:r>
    </w:p>
    <w:p w:rsidR="00A16375" w:rsidRPr="00555873" w:rsidRDefault="00A16375" w:rsidP="00A16375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Garantie:</w:t>
      </w:r>
      <w:r w:rsidRPr="00555873">
        <w:rPr>
          <w:lang w:val="fr-BE" w:eastAsia="nl-NL"/>
        </w:rPr>
        <w:t xml:space="preserve"> 1 an</w:t>
      </w:r>
    </w:p>
    <w:p w:rsidR="00A16375" w:rsidRPr="00555873" w:rsidRDefault="00A16375" w:rsidP="00A16375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Attestation des cycles de test:</w:t>
      </w:r>
      <w:r w:rsidRPr="00555873">
        <w:rPr>
          <w:lang w:val="fr-BE" w:eastAsia="nl-NL"/>
        </w:rPr>
        <w:t xml:space="preserve"> 100000</w:t>
      </w:r>
    </w:p>
    <w:p w:rsidR="00CC6F09" w:rsidRPr="00567523" w:rsidRDefault="00CC6F09" w:rsidP="00A16375">
      <w:pPr>
        <w:pStyle w:val="Geenafstand"/>
        <w:rPr>
          <w:lang w:val="fr-BE" w:eastAsia="nl-NL"/>
        </w:rPr>
      </w:pPr>
    </w:p>
    <w:p w:rsidR="00A16375" w:rsidRPr="00555873" w:rsidRDefault="00A16375" w:rsidP="00A16375">
      <w:pPr>
        <w:pStyle w:val="Kop2"/>
      </w:pPr>
      <w:r w:rsidRPr="00555873">
        <w:t>Rails</w:t>
      </w:r>
    </w:p>
    <w:p w:rsidR="00A16375" w:rsidRPr="00555873" w:rsidRDefault="00A16375" w:rsidP="00A16375">
      <w:pPr>
        <w:pStyle w:val="Kop3"/>
        <w:numPr>
          <w:ilvl w:val="0"/>
          <w:numId w:val="44"/>
        </w:numPr>
      </w:pPr>
      <w:r w:rsidRPr="00555873">
        <w:t>Rail supérieur:</w:t>
      </w:r>
    </w:p>
    <w:p w:rsidR="00A16375" w:rsidRPr="00555873" w:rsidRDefault="00A16375" w:rsidP="00A16375">
      <w:pPr>
        <w:ind w:left="708"/>
        <w:rPr>
          <w:rFonts w:ascii="Calibri" w:eastAsia="Calibri" w:hAnsi="Calibri" w:cs="Times New Roman"/>
          <w:sz w:val="22"/>
          <w:szCs w:val="22"/>
          <w:lang w:val="fr-BE"/>
        </w:rPr>
      </w:pPr>
      <w:r w:rsidRPr="00555873">
        <w:rPr>
          <w:rFonts w:ascii="Calibri" w:eastAsia="Calibri" w:hAnsi="Calibri" w:cs="Times New Roman"/>
          <w:sz w:val="22"/>
          <w:szCs w:val="22"/>
          <w:lang w:val="fr-BE"/>
        </w:rPr>
        <w:t>- déplacement des panneaux manuel et système coulissant simple: rail supérieur 31/33/2</w:t>
      </w:r>
    </w:p>
    <w:p w:rsidR="00A16375" w:rsidRPr="00A16375" w:rsidRDefault="00A16375" w:rsidP="00A16375">
      <w:pPr>
        <w:ind w:left="708"/>
        <w:rPr>
          <w:rFonts w:ascii="Calibri" w:eastAsia="Calibri" w:hAnsi="Calibri" w:cs="Times New Roman"/>
          <w:sz w:val="22"/>
          <w:szCs w:val="22"/>
          <w:lang w:val="fr-BE"/>
        </w:rPr>
      </w:pPr>
      <w:r w:rsidRPr="00555873">
        <w:rPr>
          <w:rFonts w:ascii="Calibri" w:eastAsia="Calibri" w:hAnsi="Calibri" w:cs="Times New Roman"/>
          <w:sz w:val="22"/>
          <w:szCs w:val="22"/>
          <w:lang w:val="fr-BE"/>
        </w:rPr>
        <w:t>- autres configurations: rail supérieur 35/40/</w:t>
      </w:r>
      <w:r w:rsidRPr="00A16375">
        <w:rPr>
          <w:rFonts w:ascii="Calibri" w:eastAsia="Calibri" w:hAnsi="Calibri" w:cs="Times New Roman"/>
          <w:sz w:val="22"/>
          <w:szCs w:val="22"/>
          <w:lang w:val="fr-BE"/>
        </w:rPr>
        <w:t>2</w:t>
      </w:r>
    </w:p>
    <w:p w:rsidR="005832FC" w:rsidRPr="00A16375" w:rsidRDefault="005832FC" w:rsidP="00495265">
      <w:pPr>
        <w:ind w:left="708"/>
        <w:rPr>
          <w:rFonts w:ascii="Calibri" w:eastAsia="Calibri" w:hAnsi="Calibri" w:cs="Times New Roman"/>
          <w:sz w:val="22"/>
          <w:szCs w:val="22"/>
          <w:lang w:val="fr-BE"/>
        </w:rPr>
      </w:pPr>
      <w:r w:rsidRPr="00A16375">
        <w:rPr>
          <w:rFonts w:ascii="Calibri" w:eastAsia="Calibri" w:hAnsi="Calibri" w:cs="Times New Roman"/>
          <w:sz w:val="22"/>
          <w:szCs w:val="22"/>
          <w:lang w:val="fr-BE"/>
        </w:rPr>
        <w:t>- BiFold e</w:t>
      </w:r>
      <w:r w:rsidR="00A16375" w:rsidRPr="00A16375">
        <w:rPr>
          <w:rFonts w:ascii="Calibri" w:eastAsia="Calibri" w:hAnsi="Calibri" w:cs="Times New Roman"/>
          <w:sz w:val="22"/>
          <w:szCs w:val="22"/>
          <w:lang w:val="fr-BE"/>
        </w:rPr>
        <w:t>t</w:t>
      </w:r>
      <w:r w:rsidRPr="00A16375">
        <w:rPr>
          <w:rFonts w:ascii="Calibri" w:eastAsia="Calibri" w:hAnsi="Calibri" w:cs="Times New Roman"/>
          <w:sz w:val="22"/>
          <w:szCs w:val="22"/>
          <w:lang w:val="fr-BE"/>
        </w:rPr>
        <w:t xml:space="preserve"> QuadraFold: </w:t>
      </w:r>
      <w:r w:rsidR="00A16375" w:rsidRPr="00555873">
        <w:rPr>
          <w:rFonts w:ascii="Calibri" w:eastAsia="Calibri" w:hAnsi="Calibri" w:cs="Times New Roman"/>
          <w:sz w:val="22"/>
          <w:szCs w:val="22"/>
          <w:lang w:val="fr-BE"/>
        </w:rPr>
        <w:t xml:space="preserve">rail supérieur </w:t>
      </w:r>
      <w:r w:rsidRPr="00A16375">
        <w:rPr>
          <w:rFonts w:ascii="Calibri" w:eastAsia="Calibri" w:hAnsi="Calibri" w:cs="Times New Roman"/>
          <w:sz w:val="22"/>
          <w:szCs w:val="22"/>
          <w:lang w:val="fr-BE"/>
        </w:rPr>
        <w:t>48/75/2</w:t>
      </w:r>
    </w:p>
    <w:p w:rsidR="00495265" w:rsidRPr="00A16375" w:rsidRDefault="00495265" w:rsidP="00495265">
      <w:pPr>
        <w:ind w:left="708"/>
        <w:rPr>
          <w:lang w:val="fr-BE" w:eastAsia="en-US"/>
        </w:rPr>
      </w:pPr>
    </w:p>
    <w:p w:rsidR="00A16375" w:rsidRPr="00555873" w:rsidRDefault="00A16375" w:rsidP="00A16375">
      <w:pPr>
        <w:pStyle w:val="Kop3"/>
        <w:numPr>
          <w:ilvl w:val="0"/>
          <w:numId w:val="44"/>
        </w:numPr>
      </w:pPr>
      <w:r w:rsidRPr="00555873">
        <w:t>Rail inférieur:</w:t>
      </w:r>
    </w:p>
    <w:p w:rsidR="00A16375" w:rsidRDefault="00A16375" w:rsidP="00A16375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555873">
        <w:rPr>
          <w:rFonts w:ascii="Calibri" w:eastAsia="Calibri" w:hAnsi="Calibri" w:cs="Times New Roman"/>
          <w:sz w:val="22"/>
          <w:szCs w:val="22"/>
        </w:rPr>
        <w:t>- rail inférieur 25/25/4</w:t>
      </w:r>
    </w:p>
    <w:p w:rsidR="005E7D67" w:rsidRDefault="005E7D67" w:rsidP="005E7D67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rail intégré </w:t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Simple: 80/43</w:t>
      </w:r>
    </w:p>
    <w:p w:rsidR="005E7D67" w:rsidRDefault="005E7D67" w:rsidP="005E7D67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Double: 140/43</w:t>
      </w:r>
    </w:p>
    <w:p w:rsidR="005E7D67" w:rsidRPr="00555873" w:rsidRDefault="005E7D67" w:rsidP="005E7D67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Triple: 190/43</w:t>
      </w:r>
      <w:bookmarkStart w:id="0" w:name="_GoBack"/>
      <w:bookmarkEnd w:id="0"/>
    </w:p>
    <w:p w:rsidR="005832FC" w:rsidRPr="00A16375" w:rsidRDefault="005832FC" w:rsidP="005832FC">
      <w:pPr>
        <w:ind w:left="708"/>
        <w:rPr>
          <w:rFonts w:ascii="Calibri" w:eastAsia="Calibri" w:hAnsi="Calibri" w:cs="Times New Roman"/>
          <w:sz w:val="22"/>
          <w:szCs w:val="22"/>
          <w:lang w:val="fr-BE"/>
        </w:rPr>
      </w:pPr>
      <w:r w:rsidRPr="00A16375">
        <w:rPr>
          <w:rFonts w:ascii="Calibri" w:eastAsia="Calibri" w:hAnsi="Calibri" w:cs="Times New Roman"/>
          <w:sz w:val="22"/>
          <w:szCs w:val="22"/>
          <w:lang w:val="fr-BE"/>
        </w:rPr>
        <w:t>- BiFold e</w:t>
      </w:r>
      <w:r w:rsidR="00A16375" w:rsidRPr="00A16375">
        <w:rPr>
          <w:rFonts w:ascii="Calibri" w:eastAsia="Calibri" w:hAnsi="Calibri" w:cs="Times New Roman"/>
          <w:sz w:val="22"/>
          <w:szCs w:val="22"/>
          <w:lang w:val="fr-BE"/>
        </w:rPr>
        <w:t>t</w:t>
      </w:r>
      <w:r w:rsidRPr="00A16375">
        <w:rPr>
          <w:rFonts w:ascii="Calibri" w:eastAsia="Calibri" w:hAnsi="Calibri" w:cs="Times New Roman"/>
          <w:sz w:val="22"/>
          <w:szCs w:val="22"/>
          <w:lang w:val="fr-BE"/>
        </w:rPr>
        <w:t xml:space="preserve"> QuadraFold: </w:t>
      </w:r>
      <w:r w:rsidR="00A16375" w:rsidRPr="00555873">
        <w:rPr>
          <w:rFonts w:ascii="Calibri" w:eastAsia="Calibri" w:hAnsi="Calibri" w:cs="Times New Roman"/>
          <w:sz w:val="22"/>
          <w:szCs w:val="22"/>
          <w:lang w:val="fr-BE"/>
        </w:rPr>
        <w:t>rail inférieur</w:t>
      </w:r>
      <w:r w:rsidR="00A16375" w:rsidRPr="00A16375">
        <w:rPr>
          <w:rFonts w:ascii="Calibri" w:eastAsia="Calibri" w:hAnsi="Calibri" w:cs="Times New Roman"/>
          <w:sz w:val="22"/>
          <w:szCs w:val="22"/>
          <w:lang w:val="fr-BE"/>
        </w:rPr>
        <w:t xml:space="preserve"> </w:t>
      </w:r>
      <w:r w:rsidRPr="00A16375">
        <w:rPr>
          <w:rFonts w:ascii="Calibri" w:eastAsia="Calibri" w:hAnsi="Calibri" w:cs="Times New Roman"/>
          <w:sz w:val="22"/>
          <w:szCs w:val="22"/>
          <w:lang w:val="fr-BE"/>
        </w:rPr>
        <w:t>48/20/2</w:t>
      </w:r>
    </w:p>
    <w:p w:rsidR="00D503A2" w:rsidRPr="00A16375" w:rsidRDefault="00D503A2" w:rsidP="00495265">
      <w:pPr>
        <w:ind w:left="708"/>
        <w:rPr>
          <w:lang w:val="fr-BE" w:eastAsia="en-US"/>
        </w:rPr>
      </w:pPr>
    </w:p>
    <w:p w:rsidR="00A16375" w:rsidRPr="00555873" w:rsidRDefault="00A16375" w:rsidP="00A16375">
      <w:pPr>
        <w:pStyle w:val="Kop2"/>
        <w:rPr>
          <w:lang w:val="fr-BE"/>
        </w:rPr>
      </w:pPr>
      <w:r w:rsidRPr="00555873">
        <w:rPr>
          <w:lang w:val="fr-BE"/>
        </w:rPr>
        <w:t>Répond ou est testé selon les normes:</w:t>
      </w:r>
    </w:p>
    <w:p w:rsidR="00A16375" w:rsidRPr="00555873" w:rsidRDefault="00A16375" w:rsidP="00A16375">
      <w:pPr>
        <w:pStyle w:val="bestektekst"/>
        <w:numPr>
          <w:ilvl w:val="0"/>
          <w:numId w:val="20"/>
        </w:numPr>
        <w:rPr>
          <w:rFonts w:asciiTheme="minorHAnsi" w:eastAsia="Calibri" w:hAnsiTheme="minorHAnsi"/>
          <w:sz w:val="22"/>
          <w:lang w:val="fr-BE" w:eastAsia="en-US"/>
        </w:rPr>
      </w:pPr>
      <w:r w:rsidRPr="00555873">
        <w:rPr>
          <w:rFonts w:asciiTheme="minorHAnsi" w:hAnsiTheme="minorHAnsi" w:cs="Tahoma"/>
          <w:sz w:val="22"/>
          <w:lang w:val="fr-BE"/>
        </w:rPr>
        <w:t xml:space="preserve">Qualicoat (en cas </w:t>
      </w:r>
      <w:r w:rsidRPr="00555873">
        <w:rPr>
          <w:rFonts w:asciiTheme="minorHAnsi" w:eastAsia="Calibri" w:hAnsiTheme="minorHAnsi"/>
          <w:sz w:val="22"/>
          <w:lang w:val="fr-BE" w:eastAsia="en-US"/>
        </w:rPr>
        <w:t>d’une finition thermolaquée).</w:t>
      </w:r>
    </w:p>
    <w:p w:rsidR="00A16375" w:rsidRPr="00555873" w:rsidRDefault="00A16375" w:rsidP="00A16375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Qualanod (en cas d’une finition anodisée).</w:t>
      </w:r>
    </w:p>
    <w:p w:rsidR="00A16375" w:rsidRPr="00555873" w:rsidRDefault="00A16375" w:rsidP="00A16375">
      <w:pPr>
        <w:pStyle w:val="Geenafstand"/>
        <w:numPr>
          <w:ilvl w:val="0"/>
          <w:numId w:val="20"/>
        </w:numPr>
        <w:rPr>
          <w:rFonts w:asciiTheme="minorHAnsi" w:hAnsiTheme="minorHAnsi"/>
          <w:lang w:val="fr-BE"/>
        </w:rPr>
      </w:pPr>
      <w:r w:rsidRPr="00555873">
        <w:rPr>
          <w:rFonts w:asciiTheme="minorHAnsi" w:hAnsiTheme="minorHAnsi"/>
          <w:lang w:val="fr-BE"/>
        </w:rPr>
        <w:t>EN 573 - EN AW-6063 T66 et EN AW-6060 T66: alliage aluminium &amp; durcissement.</w:t>
      </w:r>
    </w:p>
    <w:p w:rsidR="00A16375" w:rsidRPr="00555873" w:rsidRDefault="00A16375" w:rsidP="00A16375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 xml:space="preserve">EN 1990, EN 1991, EN 1999: </w:t>
      </w:r>
      <w:r w:rsidRPr="00555873">
        <w:rPr>
          <w:rFonts w:asciiTheme="minorHAnsi" w:hAnsiTheme="minorHAnsi"/>
          <w:sz w:val="22"/>
          <w:lang w:val="fr-BE"/>
        </w:rPr>
        <w:t>calculs de force</w:t>
      </w:r>
    </w:p>
    <w:p w:rsidR="00A16375" w:rsidRPr="00555873" w:rsidRDefault="00A16375" w:rsidP="00A16375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Moteur:</w:t>
      </w:r>
      <w:r w:rsidRPr="00555873">
        <w:rPr>
          <w:rFonts w:asciiTheme="minorHAnsi" w:hAnsiTheme="minorHAnsi" w:cs="Tahoma"/>
          <w:sz w:val="22"/>
          <w:lang w:val="fr-BE"/>
        </w:rPr>
        <w:tab/>
        <w:t>EN 60335-1 (Sécurité d’appareils électroménagers – part 1)</w:t>
      </w:r>
    </w:p>
    <w:p w:rsidR="00A16375" w:rsidRPr="00555873" w:rsidRDefault="00A16375" w:rsidP="00A16375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60335-2 (Sécurité d’appareils électroménagers – part 2)</w:t>
      </w:r>
    </w:p>
    <w:p w:rsidR="00A16375" w:rsidRPr="00555873" w:rsidRDefault="00A16375" w:rsidP="00A16375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12445 (Sécurité d’utilisation de portes à commande électrique)</w:t>
      </w:r>
    </w:p>
    <w:p w:rsidR="00A16375" w:rsidRPr="00555873" w:rsidRDefault="00A16375" w:rsidP="00A16375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16005</w:t>
      </w:r>
    </w:p>
    <w:p w:rsidR="00A16375" w:rsidRPr="00555873" w:rsidRDefault="00A16375" w:rsidP="00A16375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13241</w:t>
      </w:r>
    </w:p>
    <w:p w:rsidR="00A16375" w:rsidRPr="0069246A" w:rsidRDefault="00A16375" w:rsidP="00A16375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CE - déclaration de conformité</w:t>
      </w:r>
    </w:p>
    <w:p w:rsidR="00916DDF" w:rsidRPr="00CD7C25" w:rsidRDefault="00916DDF" w:rsidP="00894803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</w:p>
    <w:sectPr w:rsidR="00916DDF" w:rsidRPr="00CD7C25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C86" w:rsidRDefault="00EE1C86" w:rsidP="00584936">
      <w:r>
        <w:separator/>
      </w:r>
    </w:p>
  </w:endnote>
  <w:endnote w:type="continuationSeparator" w:id="0">
    <w:p w:rsidR="00EE1C86" w:rsidRDefault="00EE1C86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C86" w:rsidRDefault="00EE1C86" w:rsidP="00584936">
      <w:r>
        <w:separator/>
      </w:r>
    </w:p>
  </w:footnote>
  <w:footnote w:type="continuationSeparator" w:id="0">
    <w:p w:rsidR="00EE1C86" w:rsidRDefault="00EE1C86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EE1C86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EE1C86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EE1C86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2093F"/>
    <w:rsid w:val="000845CF"/>
    <w:rsid w:val="000917CA"/>
    <w:rsid w:val="000974F5"/>
    <w:rsid w:val="000A4893"/>
    <w:rsid w:val="000D4094"/>
    <w:rsid w:val="00100B5E"/>
    <w:rsid w:val="001277C9"/>
    <w:rsid w:val="001470E4"/>
    <w:rsid w:val="00153EEE"/>
    <w:rsid w:val="0018000C"/>
    <w:rsid w:val="0019040D"/>
    <w:rsid w:val="00196569"/>
    <w:rsid w:val="001A1A21"/>
    <w:rsid w:val="001C548A"/>
    <w:rsid w:val="001F2F9E"/>
    <w:rsid w:val="002047D0"/>
    <w:rsid w:val="00217093"/>
    <w:rsid w:val="00222F29"/>
    <w:rsid w:val="00232A66"/>
    <w:rsid w:val="0025300C"/>
    <w:rsid w:val="00254988"/>
    <w:rsid w:val="0026604F"/>
    <w:rsid w:val="002A46E2"/>
    <w:rsid w:val="002A570F"/>
    <w:rsid w:val="002A6498"/>
    <w:rsid w:val="002D28BD"/>
    <w:rsid w:val="002E73E9"/>
    <w:rsid w:val="002F0B81"/>
    <w:rsid w:val="002F4432"/>
    <w:rsid w:val="003101F6"/>
    <w:rsid w:val="003126C0"/>
    <w:rsid w:val="00315892"/>
    <w:rsid w:val="003357B6"/>
    <w:rsid w:val="00340672"/>
    <w:rsid w:val="00393524"/>
    <w:rsid w:val="003B0777"/>
    <w:rsid w:val="003B3007"/>
    <w:rsid w:val="003E502D"/>
    <w:rsid w:val="00404BAD"/>
    <w:rsid w:val="004229F9"/>
    <w:rsid w:val="00466C4B"/>
    <w:rsid w:val="004772FD"/>
    <w:rsid w:val="00485348"/>
    <w:rsid w:val="00486349"/>
    <w:rsid w:val="004929D2"/>
    <w:rsid w:val="00493C08"/>
    <w:rsid w:val="00495265"/>
    <w:rsid w:val="004A6709"/>
    <w:rsid w:val="004B10FD"/>
    <w:rsid w:val="004B579A"/>
    <w:rsid w:val="004D5DDD"/>
    <w:rsid w:val="004D764E"/>
    <w:rsid w:val="00515344"/>
    <w:rsid w:val="00522424"/>
    <w:rsid w:val="00535CEE"/>
    <w:rsid w:val="00567523"/>
    <w:rsid w:val="005832FC"/>
    <w:rsid w:val="00584936"/>
    <w:rsid w:val="005A1F6F"/>
    <w:rsid w:val="005B306F"/>
    <w:rsid w:val="005C7E25"/>
    <w:rsid w:val="005D47B6"/>
    <w:rsid w:val="005E089A"/>
    <w:rsid w:val="005E7D67"/>
    <w:rsid w:val="005F05CA"/>
    <w:rsid w:val="005F2768"/>
    <w:rsid w:val="0061302D"/>
    <w:rsid w:val="00671AA8"/>
    <w:rsid w:val="00685067"/>
    <w:rsid w:val="006A176D"/>
    <w:rsid w:val="006B03E9"/>
    <w:rsid w:val="006C3D0E"/>
    <w:rsid w:val="006C401A"/>
    <w:rsid w:val="006D6E54"/>
    <w:rsid w:val="006F3CC4"/>
    <w:rsid w:val="007244D2"/>
    <w:rsid w:val="00737673"/>
    <w:rsid w:val="00787799"/>
    <w:rsid w:val="00794834"/>
    <w:rsid w:val="007A06F7"/>
    <w:rsid w:val="007B1946"/>
    <w:rsid w:val="007B4030"/>
    <w:rsid w:val="007D5206"/>
    <w:rsid w:val="007F557F"/>
    <w:rsid w:val="007F60AA"/>
    <w:rsid w:val="00816D7F"/>
    <w:rsid w:val="0082380F"/>
    <w:rsid w:val="00894803"/>
    <w:rsid w:val="008B01A9"/>
    <w:rsid w:val="008D1CFA"/>
    <w:rsid w:val="008E3C3F"/>
    <w:rsid w:val="008F0B1D"/>
    <w:rsid w:val="009016DA"/>
    <w:rsid w:val="00916DDF"/>
    <w:rsid w:val="0092495C"/>
    <w:rsid w:val="00944244"/>
    <w:rsid w:val="00955A86"/>
    <w:rsid w:val="009869D5"/>
    <w:rsid w:val="009A17EA"/>
    <w:rsid w:val="009D1856"/>
    <w:rsid w:val="009E22E4"/>
    <w:rsid w:val="00A16375"/>
    <w:rsid w:val="00A20F46"/>
    <w:rsid w:val="00A231A8"/>
    <w:rsid w:val="00A23D12"/>
    <w:rsid w:val="00A63904"/>
    <w:rsid w:val="00A672D6"/>
    <w:rsid w:val="00A70208"/>
    <w:rsid w:val="00A829C3"/>
    <w:rsid w:val="00A93A0E"/>
    <w:rsid w:val="00AB0BE4"/>
    <w:rsid w:val="00AB592C"/>
    <w:rsid w:val="00AE7206"/>
    <w:rsid w:val="00B10DC4"/>
    <w:rsid w:val="00B11368"/>
    <w:rsid w:val="00B20205"/>
    <w:rsid w:val="00B21D6F"/>
    <w:rsid w:val="00B33D5D"/>
    <w:rsid w:val="00B35687"/>
    <w:rsid w:val="00B36874"/>
    <w:rsid w:val="00B536F1"/>
    <w:rsid w:val="00B609C9"/>
    <w:rsid w:val="00B75590"/>
    <w:rsid w:val="00B77D6A"/>
    <w:rsid w:val="00BC2A15"/>
    <w:rsid w:val="00BF0CC0"/>
    <w:rsid w:val="00C11DFF"/>
    <w:rsid w:val="00C42B7E"/>
    <w:rsid w:val="00CA6850"/>
    <w:rsid w:val="00CB5A3D"/>
    <w:rsid w:val="00CC6F09"/>
    <w:rsid w:val="00CD7C25"/>
    <w:rsid w:val="00D0178E"/>
    <w:rsid w:val="00D34B9C"/>
    <w:rsid w:val="00D503A2"/>
    <w:rsid w:val="00D839CE"/>
    <w:rsid w:val="00D87C2A"/>
    <w:rsid w:val="00DA24FF"/>
    <w:rsid w:val="00DA7063"/>
    <w:rsid w:val="00DB6740"/>
    <w:rsid w:val="00DC4D3D"/>
    <w:rsid w:val="00E34515"/>
    <w:rsid w:val="00E60D9B"/>
    <w:rsid w:val="00E623A1"/>
    <w:rsid w:val="00E63F06"/>
    <w:rsid w:val="00E772DB"/>
    <w:rsid w:val="00EC6708"/>
    <w:rsid w:val="00EE1C86"/>
    <w:rsid w:val="00F01670"/>
    <w:rsid w:val="00F02894"/>
    <w:rsid w:val="00F0661A"/>
    <w:rsid w:val="00F12C0E"/>
    <w:rsid w:val="00F45113"/>
    <w:rsid w:val="00F61016"/>
    <w:rsid w:val="00FC7BAB"/>
    <w:rsid w:val="00FE73B9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1678CA79"/>
  <w15:docId w15:val="{98A7E3E4-B1F6-4BC7-A528-9E329C8A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28</TotalTime>
  <Pages>2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10</cp:revision>
  <cp:lastPrinted>2016-03-07T09:51:00Z</cp:lastPrinted>
  <dcterms:created xsi:type="dcterms:W3CDTF">2016-11-23T09:50:00Z</dcterms:created>
  <dcterms:modified xsi:type="dcterms:W3CDTF">2020-03-06T07:24:00Z</dcterms:modified>
</cp:coreProperties>
</file>